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rPr>
          <w:color w:val="000000" w:themeColor="text1"/>
          <w14:textFill>
            <w14:solidFill>
              <w14:schemeClr w14:val="tx1"/>
            </w14:solidFill>
          </w14:textFill>
        </w:rPr>
      </w:pPr>
      <w:r>
        <w:rPr>
          <w:color w:val="000000" w:themeColor="text1"/>
          <w14:textFill>
            <w14:solidFill>
              <w14:schemeClr w14:val="tx1"/>
            </w14:solidFill>
          </w14:textFill>
        </w:rPr>
      </w:r>
      <w:r/>
    </w:p>
    <w:p>
      <w:pPr>
        <w:pStyle w:val="967"/>
        <w:ind w:firstLine="0"/>
        <w:tabs>
          <w:tab w:val="left" w:pos="7642" w:leader="none"/>
        </w:tabs>
        <w:rPr>
          <w:rFonts w:ascii="宋体" w:hAnsi="宋体"/>
          <w:b/>
          <w:color w:val="000000" w:themeColor="text1"/>
          <w:sz w:val="52"/>
          <w:szCs w:val="52"/>
          <w14:textFill>
            <w14:solidFill>
              <w14:schemeClr w14:val="tx1"/>
            </w14:solidFill>
          </w14:textFill>
        </w:rPr>
      </w:pPr>
      <w:r>
        <w:rPr>
          <w:rFonts w:ascii="宋体" w:hAnsi="宋体"/>
          <w:b/>
          <w:color w:val="000000" w:themeColor="text1"/>
          <w:sz w:val="52"/>
          <w:szCs w:val="52"/>
          <w14:textFill>
            <w14:solidFill>
              <w14:schemeClr w14:val="tx1"/>
            </w14:solidFill>
          </w14:textFill>
        </w:rPr>
      </w:r>
      <w:r/>
    </w:p>
    <w:p>
      <w:pPr>
        <w:jc w:val="center"/>
        <w:rPr>
          <w:b/>
          <w:color w:val="000000" w:themeColor="text1"/>
          <w:sz w:val="84"/>
          <w14:textFill>
            <w14:solidFill>
              <w14:schemeClr w14:val="tx1"/>
            </w14:solidFill>
          </w14:textFill>
        </w:rPr>
      </w:pPr>
      <w:r>
        <w:rPr>
          <w:rFonts w:hint="eastAsia"/>
          <w:b/>
          <w:color w:val="000000" w:themeColor="text1"/>
          <w:sz w:val="84"/>
          <w14:textFill>
            <w14:solidFill>
              <w14:schemeClr w14:val="tx1"/>
            </w14:solidFill>
          </w14:textFill>
        </w:rPr>
        <w:t xml:space="preserve">招 标 文 件</w:t>
      </w:r>
      <w:r/>
    </w:p>
    <w:p>
      <w:pPr>
        <w:pStyle w:val="967"/>
        <w:ind w:firstLine="0"/>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pStyle w:val="967"/>
        <w:ind w:firstLine="0"/>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pStyle w:val="967"/>
        <w:ind w:firstLine="0"/>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pStyle w:val="967"/>
        <w:ind w:firstLine="0"/>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pStyle w:val="967"/>
        <w:ind w:firstLine="0"/>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ind w:firstLine="361"/>
        <w:rPr>
          <w:rFonts w:ascii="宋体"/>
          <w:b/>
          <w:color w:val="000000" w:themeColor="text1"/>
          <w:sz w:val="36"/>
          <w14:textFill>
            <w14:solidFill>
              <w14:schemeClr w14:val="tx1"/>
            </w14:solidFill>
          </w14:textFill>
        </w:rPr>
      </w:pPr>
      <w:r>
        <w:rPr>
          <w:rFonts w:hint="eastAsia" w:ascii="宋体"/>
          <w:b/>
          <w:color w:val="000000" w:themeColor="text1"/>
          <w:sz w:val="36"/>
          <w14:textFill>
            <w14:solidFill>
              <w14:schemeClr w14:val="tx1"/>
            </w14:solidFill>
          </w14:textFill>
        </w:rPr>
        <w:t xml:space="preserve">项目编号：JSZC-320900-YCFB-G2025-0010  </w:t>
      </w:r>
      <w:r/>
    </w:p>
    <w:p>
      <w:pPr>
        <w:ind w:firstLine="2168"/>
        <w:rPr>
          <w:rFonts w:ascii="宋体"/>
          <w:b/>
          <w:color w:val="000000" w:themeColor="text1"/>
          <w:sz w:val="36"/>
          <w14:textFill>
            <w14:solidFill>
              <w14:schemeClr w14:val="tx1"/>
            </w14:solidFill>
          </w14:textFill>
        </w:rPr>
      </w:pPr>
      <w:r>
        <w:rPr>
          <w:rFonts w:ascii="宋体"/>
          <w:b/>
          <w:color w:val="000000" w:themeColor="text1"/>
          <w:sz w:val="36"/>
          <w14:textFill>
            <w14:solidFill>
              <w14:schemeClr w14:val="tx1"/>
            </w14:solidFill>
          </w14:textFill>
        </w:rPr>
      </w:r>
      <w:r/>
    </w:p>
    <w:p>
      <w:pPr>
        <w:ind w:left="2166" w:hanging="1807"/>
        <w:rPr>
          <w:b/>
          <w:bCs/>
          <w:color w:val="000000" w:themeColor="text1"/>
          <w:sz w:val="32"/>
          <w14:textFill>
            <w14:solidFill>
              <w14:schemeClr w14:val="tx1"/>
            </w14:solidFill>
          </w14:textFill>
        </w:rPr>
      </w:pPr>
      <w:r>
        <w:rPr>
          <w:rFonts w:hint="eastAsia" w:ascii="宋体"/>
          <w:b/>
          <w:color w:val="000000" w:themeColor="text1"/>
          <w:sz w:val="36"/>
          <w14:textFill>
            <w14:solidFill>
              <w14:schemeClr w14:val="tx1"/>
            </w14:solidFill>
          </w14:textFill>
        </w:rPr>
        <w:t xml:space="preserve">项目名称： 盐城市“十五五”应急管理规划编制项目 </w:t>
      </w:r>
      <w:r>
        <w:rPr>
          <w:rFonts w:hint="eastAsia"/>
          <w:b/>
          <w:bCs/>
          <w:color w:val="000000" w:themeColor="text1"/>
          <w:sz w:val="32"/>
          <w14:textFill>
            <w14:solidFill>
              <w14:schemeClr w14:val="tx1"/>
            </w14:solidFill>
          </w14:textFill>
        </w:rPr>
        <w:t xml:space="preserve"> </w:t>
      </w:r>
      <w:r/>
    </w:p>
    <w:p>
      <w:pPr>
        <w:pStyle w:val="967"/>
        <w:ind w:firstLine="0"/>
        <w:jc w:val="center"/>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p>
      <w:pPr>
        <w:pStyle w:val="967"/>
        <w:ind w:firstLine="0"/>
        <w:jc w:val="center"/>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p>
      <w:pPr>
        <w:pStyle w:val="967"/>
        <w:ind w:firstLine="0"/>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r>
      <w:r/>
    </w:p>
    <w:p>
      <w:pPr>
        <w:pStyle w:val="967"/>
        <w:ind w:firstLine="0"/>
        <w:jc w:val="center"/>
        <w:rPr>
          <w:b/>
          <w:bCs/>
          <w:color w:val="000000" w:themeColor="text1"/>
          <w:sz w:val="32"/>
          <w14:textFill>
            <w14:solidFill>
              <w14:schemeClr w14:val="tx1"/>
            </w14:solidFill>
          </w14:textFill>
        </w:rPr>
      </w:pPr>
      <w:r>
        <w:rPr>
          <w:rFonts w:hint="eastAsia"/>
          <w:b/>
          <w:bCs/>
          <w:color w:val="000000" w:themeColor="text1"/>
          <w:sz w:val="32"/>
          <w14:textFill>
            <w14:solidFill>
              <w14:schemeClr w14:val="tx1"/>
            </w14:solidFill>
          </w14:textFill>
        </w:rPr>
        <w:t xml:space="preserve">盐城市应急管理局</w:t>
      </w:r>
      <w:r/>
    </w:p>
    <w:p>
      <w:pPr>
        <w:pStyle w:val="967"/>
        <w:ind w:firstLine="0"/>
        <w:jc w:val="center"/>
        <w:rPr>
          <w:b/>
          <w:bCs/>
          <w:color w:val="000000" w:themeColor="text1"/>
          <w:sz w:val="32"/>
          <w14:textFill>
            <w14:solidFill>
              <w14:schemeClr w14:val="tx1"/>
            </w14:solidFill>
          </w14:textFill>
        </w:rPr>
      </w:pPr>
      <w:r>
        <w:rPr>
          <w:rFonts w:hint="eastAsia"/>
          <w:b/>
          <w:bCs/>
          <w:color w:val="000000" w:themeColor="text1"/>
          <w:sz w:val="32"/>
          <w14:textFill>
            <w14:solidFill>
              <w14:schemeClr w14:val="tx1"/>
            </w14:solidFill>
          </w14:textFill>
        </w:rPr>
        <w:t xml:space="preserve">2025年10月</w:t>
      </w:r>
      <w:r/>
    </w:p>
    <w:p>
      <w:pPr>
        <w:rPr>
          <w:rFonts w:ascii="黑体" w:hAnsi="Arial" w:eastAsia="黑体"/>
          <w:b/>
          <w:color w:val="000000" w:themeColor="text1"/>
          <w:sz w:val="44"/>
          <w:szCs w:val="21"/>
          <w14:textFill>
            <w14:solidFill>
              <w14:schemeClr w14:val="tx1"/>
            </w14:solidFill>
          </w14:textFill>
        </w:rPr>
      </w:pPr>
      <w:r>
        <w:rPr>
          <w:rFonts w:ascii="黑体" w:hAnsi="Arial" w:eastAsia="黑体"/>
          <w:b/>
          <w:color w:val="000000" w:themeColor="text1"/>
          <w:sz w:val="44"/>
          <w:szCs w:val="21"/>
          <w14:textFill>
            <w14:solidFill>
              <w14:schemeClr w14:val="tx1"/>
            </w14:solidFill>
          </w14:textFill>
        </w:rPr>
      </w:r>
      <w:r/>
    </w:p>
    <w:p>
      <w:pPr>
        <w:ind w:firstLine="3313"/>
        <w:rPr>
          <w:rFonts w:ascii="黑体" w:hAnsi="Arial" w:eastAsia="黑体"/>
          <w:b/>
          <w:color w:val="000000" w:themeColor="text1"/>
          <w:sz w:val="44"/>
          <w:szCs w:val="21"/>
          <w14:textFill>
            <w14:solidFill>
              <w14:schemeClr w14:val="tx1"/>
            </w14:solidFill>
          </w14:textFill>
        </w:rPr>
      </w:pPr>
      <w:r>
        <w:rPr>
          <w:rFonts w:ascii="黑体" w:hAnsi="Arial" w:eastAsia="黑体"/>
          <w:b/>
          <w:color w:val="000000" w:themeColor="text1"/>
          <w:sz w:val="44"/>
          <w:szCs w:val="21"/>
          <w14:textFill>
            <w14:solidFill>
              <w14:schemeClr w14:val="tx1"/>
            </w14:solidFill>
          </w14:textFill>
        </w:rPr>
      </w:r>
      <w:r/>
    </w:p>
    <w:p>
      <w:pPr>
        <w:ind w:firstLine="3313"/>
        <w:rPr>
          <w:rFonts w:ascii="黑体" w:hAnsi="Arial" w:eastAsia="黑体"/>
          <w:b/>
          <w:color w:val="000000" w:themeColor="text1"/>
          <w:sz w:val="44"/>
          <w:szCs w:val="21"/>
          <w14:textFill>
            <w14:solidFill>
              <w14:schemeClr w14:val="tx1"/>
            </w14:solidFill>
          </w14:textFill>
        </w:rPr>
        <w:sectPr>
          <w:headerReference w:type="default" r:id="rId9"/>
          <w:headerReference w:type="first" r:id="rId10"/>
          <w:footerReference w:type="even" r:id="rId11"/>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ascii="黑体" w:hAnsi="Arial" w:eastAsia="黑体"/>
          <w:b/>
          <w:color w:val="000000" w:themeColor="text1"/>
          <w:sz w:val="44"/>
          <w:szCs w:val="21"/>
          <w14:textFill>
            <w14:solidFill>
              <w14:schemeClr w14:val="tx1"/>
            </w14:solidFill>
          </w14:textFill>
        </w:rPr>
      </w:r>
      <w:r/>
    </w:p>
    <w:p>
      <w:pPr>
        <w:pStyle w:val="758"/>
        <w:rPr>
          <w:color w:val="000000" w:themeColor="text1"/>
          <w14:textFill>
            <w14:solidFill>
              <w14:schemeClr w14:val="tx1"/>
            </w14:solidFill>
          </w14:textFill>
        </w:rPr>
      </w:pPr>
      <w:r>
        <w:rPr>
          <w:color w:val="000000" w:themeColor="text1"/>
          <w14:textFill>
            <w14:solidFill>
              <w14:schemeClr w14:val="tx1"/>
            </w14:solidFill>
          </w14:textFill>
        </w:rPr>
      </w:r>
      <w:r/>
    </w:p>
    <w:p>
      <w:pPr>
        <w:ind w:firstLine="3313"/>
        <w:rPr>
          <w:rFonts w:ascii="宋体" w:hAnsi="宋体"/>
          <w:b/>
          <w:color w:val="000000" w:themeColor="text1"/>
          <w:sz w:val="44"/>
          <w:szCs w:val="44"/>
          <w14:textFill>
            <w14:solidFill>
              <w14:schemeClr w14:val="tx1"/>
            </w14:solidFill>
          </w14:textFill>
        </w:rPr>
      </w:pPr>
      <w:r>
        <w:rPr>
          <w:rFonts w:hint="eastAsia" w:ascii="黑体" w:hAnsi="Arial" w:eastAsia="黑体"/>
          <w:b/>
          <w:color w:val="000000" w:themeColor="text1"/>
          <w:sz w:val="44"/>
          <w:szCs w:val="21"/>
          <w14:textFill>
            <w14:solidFill>
              <w14:schemeClr w14:val="tx1"/>
            </w14:solidFill>
          </w14:textFill>
        </w:rPr>
        <w:t xml:space="preserve">总 目 录</w:t>
      </w:r>
      <w:r/>
    </w:p>
    <w:p>
      <w:pPr>
        <w:pStyle w:val="773"/>
        <w:spacing w:line="360" w:lineRule="auto"/>
        <w:rPr>
          <w:rFonts w:ascii="宋体" w:hAnsi="宋体" w:eastAsia="宋体"/>
          <w:b w:val="0"/>
          <w:color w:val="000000" w:themeColor="text1"/>
          <w:sz w:val="24"/>
          <w:szCs w:val="24"/>
          <w14:textFill>
            <w14:solidFill>
              <w14:schemeClr w14:val="tx1"/>
            </w14:solidFill>
          </w14:textFill>
        </w:rPr>
      </w:pPr>
      <w:r>
        <w:rPr>
          <w:rFonts w:ascii="宋体" w:hAnsi="宋体" w:eastAsia="宋体"/>
          <w:b w:val="0"/>
          <w:color w:val="000000" w:themeColor="text1"/>
          <w:sz w:val="24"/>
          <w:szCs w:val="24"/>
          <w14:textFill>
            <w14:solidFill>
              <w14:schemeClr w14:val="tx1"/>
            </w14:solidFill>
          </w14:textFill>
        </w:rPr>
      </w:r>
      <w:r/>
    </w:p>
    <w:p>
      <w:pPr>
        <w:ind w:left="1944" w:hanging="1944"/>
        <w:spacing w:line="480" w:lineRule="auto"/>
        <w:rPr>
          <w:rFonts w:ascii="黑体" w:hAnsi="宋体" w:eastAsia="黑体"/>
          <w:color w:val="000000" w:themeColor="text1"/>
          <w:sz w:val="36"/>
          <w:szCs w:val="21"/>
          <w14:textFill>
            <w14:solidFill>
              <w14:schemeClr w14:val="tx1"/>
            </w14:solidFill>
          </w14:textFill>
        </w:rPr>
        <w:outlineLvl w:val="0"/>
      </w:pPr>
      <w:r>
        <w:rPr>
          <w:rFonts w:hint="eastAsia" w:ascii="黑体" w:hAnsi="宋体" w:eastAsia="黑体"/>
          <w:color w:val="000000" w:themeColor="text1"/>
          <w:sz w:val="36"/>
          <w:szCs w:val="21"/>
          <w14:textFill>
            <w14:solidFill>
              <w14:schemeClr w14:val="tx1"/>
            </w14:solidFill>
          </w14:textFill>
        </w:rPr>
        <w:t xml:space="preserve">第一章    招标公告                          </w:t>
      </w:r>
      <w:r/>
    </w:p>
    <w:p>
      <w:pPr>
        <w:ind w:left="1944" w:hanging="1944"/>
        <w:spacing w:line="480" w:lineRule="auto"/>
        <w:rPr>
          <w:rFonts w:ascii="黑体" w:hAnsi="宋体" w:eastAsia="黑体"/>
          <w:color w:val="000000" w:themeColor="text1"/>
          <w:sz w:val="36"/>
          <w:szCs w:val="21"/>
          <w14:textFill>
            <w14:solidFill>
              <w14:schemeClr w14:val="tx1"/>
            </w14:solidFill>
          </w14:textFill>
        </w:rPr>
        <w:outlineLvl w:val="0"/>
      </w:pPr>
      <w:r>
        <w:rPr>
          <w:rFonts w:hint="eastAsia" w:ascii="黑体" w:hAnsi="宋体" w:eastAsia="黑体"/>
          <w:color w:val="000000" w:themeColor="text1"/>
          <w:sz w:val="36"/>
          <w:szCs w:val="21"/>
          <w14:textFill>
            <w14:solidFill>
              <w14:schemeClr w14:val="tx1"/>
            </w14:solidFill>
          </w14:textFill>
        </w:rPr>
        <w:t xml:space="preserve">第二章    投标人须知 </w:t>
      </w:r>
      <w:r/>
    </w:p>
    <w:p>
      <w:pPr>
        <w:ind w:left="1944" w:hanging="1944"/>
        <w:spacing w:line="480" w:lineRule="auto"/>
        <w:rPr>
          <w:rFonts w:ascii="黑体" w:hAnsi="宋体" w:eastAsia="黑体"/>
          <w:color w:val="000000" w:themeColor="text1"/>
          <w:sz w:val="36"/>
          <w:szCs w:val="21"/>
          <w14:textFill>
            <w14:solidFill>
              <w14:schemeClr w14:val="tx1"/>
            </w14:solidFill>
          </w14:textFill>
        </w:rPr>
        <w:outlineLvl w:val="0"/>
      </w:pPr>
      <w:r>
        <w:rPr>
          <w:rFonts w:hint="eastAsia" w:ascii="黑体" w:hAnsi="宋体" w:eastAsia="黑体"/>
          <w:color w:val="000000" w:themeColor="text1"/>
          <w:sz w:val="36"/>
          <w:szCs w:val="21"/>
          <w14:textFill>
            <w14:solidFill>
              <w14:schemeClr w14:val="tx1"/>
            </w14:solidFill>
          </w14:textFill>
        </w:rPr>
        <w:t xml:space="preserve">第三章    合同文本 </w:t>
      </w:r>
      <w:r/>
    </w:p>
    <w:p>
      <w:pPr>
        <w:ind w:left="1944" w:hanging="1944"/>
        <w:spacing w:line="480" w:lineRule="auto"/>
        <w:rPr>
          <w:rFonts w:ascii="黑体" w:hAnsi="宋体" w:eastAsia="黑体"/>
          <w:color w:val="000000" w:themeColor="text1"/>
          <w:sz w:val="36"/>
          <w:szCs w:val="21"/>
          <w14:textFill>
            <w14:solidFill>
              <w14:schemeClr w14:val="tx1"/>
            </w14:solidFill>
          </w14:textFill>
        </w:rPr>
        <w:outlineLvl w:val="0"/>
      </w:pPr>
      <w:r>
        <w:rPr>
          <w:rFonts w:hint="eastAsia" w:ascii="黑体" w:hAnsi="宋体" w:eastAsia="黑体"/>
          <w:color w:val="000000" w:themeColor="text1"/>
          <w:sz w:val="36"/>
          <w:szCs w:val="21"/>
          <w14:textFill>
            <w14:solidFill>
              <w14:schemeClr w14:val="tx1"/>
            </w14:solidFill>
          </w14:textFill>
        </w:rPr>
        <w:t xml:space="preserve">第四章    采购需求 </w:t>
      </w:r>
      <w:r/>
    </w:p>
    <w:p>
      <w:pPr>
        <w:ind w:left="1944" w:hanging="1944"/>
        <w:spacing w:line="480" w:lineRule="auto"/>
        <w:rPr>
          <w:rFonts w:ascii="黑体" w:hAnsi="宋体" w:eastAsia="黑体"/>
          <w:color w:val="000000" w:themeColor="text1"/>
          <w:sz w:val="36"/>
          <w:szCs w:val="21"/>
          <w14:textFill>
            <w14:solidFill>
              <w14:schemeClr w14:val="tx1"/>
            </w14:solidFill>
          </w14:textFill>
        </w:rPr>
        <w:outlineLvl w:val="0"/>
      </w:pPr>
      <w:r>
        <w:rPr>
          <w:rFonts w:hint="eastAsia" w:ascii="黑体" w:hAnsi="宋体" w:eastAsia="黑体"/>
          <w:color w:val="000000" w:themeColor="text1"/>
          <w:sz w:val="36"/>
          <w:szCs w:val="21"/>
          <w14:textFill>
            <w14:solidFill>
              <w14:schemeClr w14:val="tx1"/>
            </w14:solidFill>
          </w14:textFill>
        </w:rPr>
        <w:t xml:space="preserve">第五章    评标方法及评标标准 </w:t>
      </w:r>
      <w:r/>
    </w:p>
    <w:p>
      <w:pPr>
        <w:ind w:left="1944" w:hanging="1944"/>
        <w:spacing w:line="480" w:lineRule="auto"/>
        <w:rPr>
          <w:rFonts w:ascii="黑体" w:hAnsi="宋体" w:eastAsia="黑体"/>
          <w:color w:val="000000" w:themeColor="text1"/>
          <w:sz w:val="36"/>
          <w:szCs w:val="21"/>
          <w14:textFill>
            <w14:solidFill>
              <w14:schemeClr w14:val="tx1"/>
            </w14:solidFill>
          </w14:textFill>
        </w:rPr>
        <w:outlineLvl w:val="0"/>
      </w:pPr>
      <w:r>
        <w:rPr>
          <w:rFonts w:hint="eastAsia" w:ascii="黑体" w:hAnsi="宋体" w:eastAsia="黑体"/>
          <w:color w:val="000000" w:themeColor="text1"/>
          <w:sz w:val="36"/>
          <w:szCs w:val="21"/>
          <w14:textFill>
            <w14:solidFill>
              <w14:schemeClr w14:val="tx1"/>
            </w14:solidFill>
          </w14:textFill>
        </w:rPr>
        <w:t xml:space="preserve">第六章    投标文件格式</w:t>
      </w:r>
      <w:r/>
    </w:p>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41"/>
        <w:numPr>
          <w:ilvl w:val="0"/>
          <w:numId w:val="1"/>
        </w:numPr>
        <w:rPr>
          <w:rFonts w:ascii="黑体" w:eastAsia="黑体"/>
          <w:color w:val="000000" w:themeColor="text1"/>
          <w:sz w:val="44"/>
          <w:szCs w:val="44"/>
          <w14:textFill>
            <w14:solidFill>
              <w14:schemeClr w14:val="tx1"/>
            </w14:solidFill>
          </w14:textFill>
        </w:rPr>
      </w:pPr>
      <w:r>
        <w:rPr>
          <w:rFonts w:ascii="宋体" w:hAnsi="宋体"/>
          <w:color w:val="000000" w:themeColor="text1"/>
          <w14:textFill>
            <w14:solidFill>
              <w14:schemeClr w14:val="tx1"/>
            </w14:solidFill>
          </w14:textFill>
        </w:rPr>
        <w:br w:type="page" w:clear="all"/>
      </w:r>
      <w:r>
        <w:rPr>
          <w:rFonts w:hint="eastAsia" w:ascii="黑体" w:eastAsia="黑体"/>
          <w:color w:val="000000" w:themeColor="text1"/>
          <w:sz w:val="44"/>
          <w:szCs w:val="44"/>
          <w14:textFill>
            <w14:solidFill>
              <w14:schemeClr w14:val="tx1"/>
            </w14:solidFill>
          </w14:textFill>
        </w:rPr>
        <w:t xml:space="preserve"> 招标公告</w:t>
      </w:r>
      <w:r/>
    </w:p>
    <w:p>
      <w:pPr>
        <w:ind w:firstLine="482"/>
        <w:spacing w:line="500" w:lineRule="exact"/>
        <w:rPr>
          <w:rFonts w:ascii="宋体" w:hAnsi="宋体" w:cs="宋体"/>
          <w:b/>
          <w:bCs/>
          <w:color w:val="000000" w:themeColor="text1"/>
          <w:sz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themeColor="text1"/>
          <w:sz w:val="24"/>
          <w14:textFill>
            <w14:solidFill>
              <w14:schemeClr w14:val="tx1"/>
            </w14:solidFill>
          </w14:textFill>
        </w:rPr>
        <w:t xml:space="preserve">项目概况</w:t>
      </w:r>
      <w:r/>
    </w:p>
    <w:p>
      <w:pPr>
        <w:ind w:firstLine="480"/>
        <w:spacing w:line="500" w:lineRule="exact"/>
        <w:rPr>
          <w:color w:val="000000" w:themeColor="text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 w:val="24"/>
          <w:u w:val="single"/>
          <w14:textFill>
            <w14:solidFill>
              <w14:schemeClr w14:val="tx1"/>
            </w14:solidFill>
          </w14:textFill>
        </w:rPr>
        <w:t xml:space="preserve">盐城市“十五五”应急管理规划编制项目 JSZC-320900-YCFB-G2025-0010</w:t>
      </w:r>
      <w:r>
        <w:rPr>
          <w:rFonts w:hint="eastAsia" w:ascii="宋体" w:hAnsi="宋体" w:cs="宋体"/>
          <w:color w:val="000000" w:themeColor="text1"/>
          <w:sz w:val="24"/>
          <w14:textFill>
            <w14:solidFill>
              <w14:schemeClr w14:val="tx1"/>
            </w14:solidFill>
          </w14:textFill>
        </w:rPr>
        <w:t xml:space="preserve"> 招标项目</w:t>
      </w:r>
      <w:r>
        <w:rPr>
          <w:rFonts w:hint="eastAsia" w:ascii="宋体" w:hAnsi="宋体"/>
          <w:color w:val="000000" w:themeColor="text1"/>
          <w:sz w:val="24"/>
          <w14:textFill>
            <w14:solidFill>
              <w14:schemeClr w14:val="tx1"/>
            </w14:solidFill>
          </w14:textFill>
        </w:rPr>
        <w:t xml:space="preserve">的潜在投标人可在“苏采云”系统内免费下载（投标人必须在苏采云系统中获取采购文件，方能参与政府采购项目），并于2025年11月20</w:t>
      </w:r>
      <w:r>
        <w:rPr>
          <w:rFonts w:hint="eastAsia" w:ascii="宋体" w:hAnsi="宋体"/>
          <w:color w:val="000000" w:themeColor="text1"/>
          <w:sz w:val="24"/>
          <w14:textFill>
            <w14:solidFill>
              <w14:schemeClr w14:val="tx1"/>
            </w14:solidFill>
          </w14:textFill>
        </w:rPr>
        <w:t xml:space="preserve">日15:00（北京时间）前递交投标文件</w:t>
      </w:r>
      <w:r>
        <w:rPr>
          <w:rFonts w:hint="eastAsia" w:ascii="宋体" w:hAnsi="宋体" w:cs="宋体"/>
          <w:color w:val="000000" w:themeColor="text1"/>
          <w:sz w:val="24"/>
          <w14:textFill>
            <w14:solidFill>
              <w14:schemeClr w14:val="tx1"/>
            </w14:solidFill>
          </w14:textFill>
        </w:rPr>
        <w:t xml:space="preserve">。</w:t>
      </w:r>
      <w:r/>
    </w:p>
    <w:p>
      <w:pPr>
        <w:pStyle w:val="741"/>
        <w:ind w:firstLine="482"/>
        <w:jc w:val="left"/>
        <w:spacing w:line="460" w:lineRule="exact"/>
        <w:tabs>
          <w:tab w:val="left" w:pos="0" w:leader="none"/>
          <w:tab w:val="left" w:pos="3165" w:leader="none"/>
          <w:tab w:val="center" w:pos="4153" w:leader="none"/>
        </w:tabs>
        <w:rPr>
          <w:rFonts w:ascii="宋体" w:hAnsi="宋体" w:eastAsia="宋体" w:cs="宋体"/>
          <w:b/>
          <w:bCs/>
          <w:color w:val="000000" w:themeColor="text1"/>
          <w:sz w:val="24"/>
          <w:szCs w:val="24"/>
          <w14:textFill>
            <w14:solidFill>
              <w14:schemeClr w14:val="tx1"/>
            </w14:solidFill>
          </w14:textFill>
        </w:rPr>
      </w:pPr>
      <w:r/>
      <w:bookmarkStart w:id="0" w:name="_Toc28359079"/>
      <w:r/>
      <w:bookmarkStart w:id="1" w:name="_Toc35393621"/>
      <w:r/>
      <w:bookmarkStart w:id="2" w:name="_Toc35393790"/>
      <w:r/>
      <w:bookmarkStart w:id="3" w:name="_Toc28359002"/>
      <w:r/>
      <w:bookmarkStart w:id="4" w:name="_Hlk24379207"/>
      <w:r>
        <w:rPr>
          <w:rFonts w:hint="eastAsia" w:ascii="宋体" w:hAnsi="宋体" w:eastAsia="宋体" w:cs="宋体"/>
          <w:b/>
          <w:bCs/>
          <w:color w:val="000000" w:themeColor="text1"/>
          <w:sz w:val="24"/>
          <w:szCs w:val="24"/>
          <w14:textFill>
            <w14:solidFill>
              <w14:schemeClr w14:val="tx1"/>
            </w14:solidFill>
          </w14:textFill>
        </w:rPr>
        <w:t xml:space="preserve">一、项目基本情况</w:t>
      </w:r>
      <w:bookmarkEnd w:id="0"/>
      <w:r/>
      <w:bookmarkEnd w:id="1"/>
      <w:r/>
      <w:bookmarkEnd w:id="2"/>
      <w:r/>
      <w:bookmarkEnd w:id="3"/>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1.项目编号</w:t>
      </w:r>
      <w:bookmarkStart w:id="5" w:name="OLE_LINK1"/>
      <w:r>
        <w:rPr>
          <w:rFonts w:hint="eastAsia" w:ascii="宋体" w:hAnsi="宋体" w:cs="宋体"/>
          <w:color w:val="000000" w:themeColor="text1"/>
          <w:sz w:val="24"/>
          <w14:textFill>
            <w14:solidFill>
              <w14:schemeClr w14:val="tx1"/>
            </w14:solidFill>
          </w14:textFill>
        </w:rPr>
        <w:t xml:space="preserve">：JSZC-320900-YCFB-G2025-0010 </w:t>
      </w:r>
      <w:bookmarkEnd w:id="5"/>
      <w:r>
        <w:rPr>
          <w:rFonts w:hint="eastAsia" w:ascii="宋体" w:hAnsi="宋体" w:cs="宋体"/>
          <w:color w:val="000000" w:themeColor="text1"/>
          <w:sz w:val="24"/>
          <w14:textFill>
            <w14:solidFill>
              <w14:schemeClr w14:val="tx1"/>
            </w14:solidFill>
          </w14:textFill>
        </w:rPr>
        <w:t xml:space="preserve">  </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2.项目名称： 盐城市“十五五”应急管理规划编制项目 </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3.采购方式：公开招标</w:t>
      </w:r>
      <w:bookmarkEnd w:id="4"/>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4.预算金额：</w:t>
      </w:r>
      <w:r>
        <w:rPr>
          <w:rFonts w:hint="eastAsia" w:ascii="宋体" w:hAnsi="宋体" w:cs="宋体"/>
          <w:color w:val="000000" w:themeColor="text1"/>
          <w:sz w:val="24"/>
          <w:u w:val="single"/>
          <w14:textFill>
            <w14:solidFill>
              <w14:schemeClr w14:val="tx1"/>
            </w14:solidFill>
          </w14:textFill>
        </w:rPr>
        <w:t xml:space="preserve">60</w:t>
      </w:r>
      <w:r>
        <w:rPr>
          <w:rFonts w:hint="eastAsia" w:ascii="宋体" w:hAnsi="宋体" w:cs="宋体"/>
          <w:bCs/>
          <w:color w:val="000000" w:themeColor="text1"/>
          <w:sz w:val="24"/>
          <w14:textFill>
            <w14:solidFill>
              <w14:schemeClr w14:val="tx1"/>
            </w14:solidFill>
          </w14:textFill>
        </w:rPr>
        <w:t xml:space="preserve">万元</w:t>
      </w:r>
      <w:r>
        <w:rPr>
          <w:rFonts w:hint="eastAsia" w:ascii="宋体" w:hAnsi="宋体" w:cs="宋体"/>
          <w:color w:val="000000" w:themeColor="text1"/>
          <w:sz w:val="24"/>
          <w14:textFill>
            <w14:solidFill>
              <w14:schemeClr w14:val="tx1"/>
            </w14:solidFill>
          </w14:textFill>
        </w:rPr>
        <w:t xml:space="preserve">。</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5.最高限价（如有）：</w:t>
      </w:r>
      <w:r>
        <w:rPr>
          <w:rFonts w:hint="eastAsia" w:ascii="宋体" w:hAnsi="宋体" w:cs="宋体"/>
          <w:color w:val="000000" w:themeColor="text1"/>
          <w:sz w:val="24"/>
          <w:u w:val="single"/>
          <w14:textFill>
            <w14:solidFill>
              <w14:schemeClr w14:val="tx1"/>
            </w14:solidFill>
          </w14:textFill>
        </w:rPr>
        <w:t xml:space="preserve">60</w:t>
      </w:r>
      <w:r>
        <w:rPr>
          <w:rFonts w:hint="eastAsia" w:ascii="宋体" w:hAnsi="宋体" w:cs="宋体"/>
          <w:bCs/>
          <w:color w:val="000000" w:themeColor="text1"/>
          <w:sz w:val="24"/>
          <w14:textFill>
            <w14:solidFill>
              <w14:schemeClr w14:val="tx1"/>
            </w14:solidFill>
          </w14:textFill>
        </w:rPr>
        <w:t xml:space="preserve">万元</w:t>
      </w:r>
      <w:r>
        <w:rPr>
          <w:rFonts w:hint="eastAsia" w:ascii="宋体" w:hAnsi="宋体" w:cs="宋体"/>
          <w:color w:val="000000" w:themeColor="text1"/>
          <w:sz w:val="24"/>
          <w14:textFill>
            <w14:solidFill>
              <w14:schemeClr w14:val="tx1"/>
            </w14:solidFill>
          </w14:textFill>
        </w:rPr>
        <w:t xml:space="preserve">（投标报价高于最高限价的，采购人将不予接受，视为无效标书）。</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6.采购需求：盐城市“十五五”应急管理规划编制项目，具体内容及要求详见招标文件采购需求。</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7.合同履行期限：自合同签订之日起，至2026年6月30日止，具体时间服从采购人要求。</w:t>
      </w:r>
      <w:r/>
    </w:p>
    <w:p>
      <w:pPr>
        <w:ind w:firstLine="480"/>
        <w:spacing w:line="460" w:lineRule="exact"/>
        <w:rPr>
          <w:rFonts w:ascii="宋体" w:hAnsi="宋体"/>
          <w:bCs/>
          <w:color w:val="000000" w:themeColor="text1"/>
          <w:sz w:val="24"/>
          <w:szCs w:val="21"/>
          <w14:textFill>
            <w14:solidFill>
              <w14:schemeClr w14:val="tx1"/>
            </w14:solidFill>
          </w14:textFill>
        </w:rPr>
      </w:pPr>
      <w:r/>
      <w:bookmarkStart w:id="6" w:name="_Toc28359003"/>
      <w:r/>
      <w:bookmarkStart w:id="7" w:name="_Toc35393622"/>
      <w:r/>
      <w:bookmarkStart w:id="8" w:name="_Toc28359080"/>
      <w:r/>
      <w:bookmarkStart w:id="9" w:name="_Toc35393791"/>
      <w:r>
        <w:rPr>
          <w:rFonts w:hint="eastAsia" w:ascii="宋体" w:hAnsi="宋体" w:cs="宋体"/>
          <w:color w:val="000000" w:themeColor="text1"/>
          <w:sz w:val="24"/>
          <w14:textFill>
            <w14:solidFill>
              <w14:schemeClr w14:val="tx1"/>
            </w14:solidFill>
          </w14:textFill>
        </w:rPr>
        <w:t xml:space="preserve">8.本项目（是/否）接受联合体投标：</w:t>
      </w:r>
      <w:r>
        <w:rPr>
          <w:rFonts w:hint="eastAsia" w:ascii="宋体" w:hAnsi="宋体" w:cs="宋体"/>
          <w:color w:val="000000" w:themeColor="text1"/>
          <w:sz w:val="24"/>
          <w:u w:val="single"/>
          <w14:textFill>
            <w14:solidFill>
              <w14:schemeClr w14:val="tx1"/>
            </w14:solidFill>
          </w14:textFill>
        </w:rPr>
        <w:t xml:space="preserve">否</w:t>
      </w:r>
      <w:r>
        <w:rPr>
          <w:rFonts w:ascii="宋体" w:hAnsi="宋体" w:cs="宋体"/>
          <w:color w:val="000000" w:themeColor="text1"/>
          <w:sz w:val="24"/>
          <w14:textFill>
            <w14:solidFill>
              <w14:schemeClr w14:val="tx1"/>
            </w14:solidFill>
          </w14:textFill>
        </w:rPr>
        <w:t xml:space="preserve">。</w:t>
      </w:r>
      <w:r/>
    </w:p>
    <w:p>
      <w:pPr>
        <w:pStyle w:val="741"/>
        <w:ind w:firstLine="482"/>
        <w:jc w:val="left"/>
        <w:spacing w:line="460" w:lineRule="exact"/>
        <w:tabs>
          <w:tab w:val="left" w:pos="0" w:leader="none"/>
          <w:tab w:val="left" w:pos="3165" w:leader="none"/>
          <w:tab w:val="center" w:pos="4153" w:leader="none"/>
        </w:tabs>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w:t>
      </w:r>
      <w:r>
        <w:rPr>
          <w:rFonts w:hint="eastAsia" w:ascii="宋体" w:hAnsi="宋体" w:eastAsia="宋体" w:cs="宋体"/>
          <w:b/>
          <w:color w:val="000000" w:themeColor="text1"/>
          <w:sz w:val="24"/>
          <w:szCs w:val="24"/>
          <w14:textFill>
            <w14:solidFill>
              <w14:schemeClr w14:val="tx1"/>
            </w14:solidFill>
          </w14:textFill>
        </w:rPr>
        <w:t xml:space="preserve">申请人</w:t>
      </w:r>
      <w:r>
        <w:rPr>
          <w:rFonts w:hint="eastAsia" w:ascii="宋体" w:hAnsi="宋体" w:eastAsia="宋体" w:cs="宋体"/>
          <w:b/>
          <w:bCs/>
          <w:color w:val="000000" w:themeColor="text1"/>
          <w:sz w:val="24"/>
          <w:szCs w:val="24"/>
          <w14:textFill>
            <w14:solidFill>
              <w14:schemeClr w14:val="tx1"/>
            </w14:solidFill>
          </w14:textFill>
        </w:rPr>
        <w:t xml:space="preserve">的资格要求：</w:t>
      </w:r>
      <w:bookmarkEnd w:id="6"/>
      <w:r/>
      <w:bookmarkEnd w:id="7"/>
      <w:r/>
      <w:bookmarkEnd w:id="8"/>
      <w:r/>
      <w:bookmarkEnd w:id="9"/>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1.满足《中华人民共和国政府采购法》第二十二条规定，并提供下列材料：</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 法人或者其他组织的营业执照等证明文件，自然人的身份证明；</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 上一年度的财务状况报告（成立不满一年无需提供）；</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 具备履行合同所必需的设备和专业技术能力的书面声明；</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1.4依法缴纳税收和社会保障资金的相关材料（提供提交响应文件截止时间前一年内至少一个月依法缴纳税收及缴纳社会保障资金的证明材料。投标人依法享受缓缴、免缴税收、社会保障资金的提供证明材料）；</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 参加政府采购活动前3年内在经营活动中没有重大违法记录的书面声明；</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 法律、行政法规规定的其他条件；</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 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 单位负责人为同一人或者存在直接控股、管理关系的不同投标人，不得参加同一合同项下的政府采购活动。</w:t>
      </w:r>
      <w:r/>
    </w:p>
    <w:p>
      <w:pPr>
        <w:ind w:firstLine="480"/>
        <w:spacing w:line="460" w:lineRule="exact"/>
        <w:rPr>
          <w:rFonts w:ascii="宋体" w:hAnsi="宋体" w:cs="宋体"/>
          <w:color w:val="000000" w:themeColor="text1"/>
          <w:sz w:val="24"/>
          <w14:textFill>
            <w14:solidFill>
              <w14:schemeClr w14:val="tx1"/>
            </w14:solidFill>
          </w14:textFill>
        </w:rPr>
      </w:pPr>
      <w:r/>
      <w:bookmarkStart w:id="10" w:name="_Toc28359004"/>
      <w:r/>
      <w:bookmarkStart w:id="11" w:name="_Toc28359081"/>
      <w:r>
        <w:rPr>
          <w:rFonts w:hint="eastAsia" w:ascii="宋体" w:hAnsi="宋体" w:cs="宋体"/>
          <w:color w:val="000000" w:themeColor="text1"/>
          <w:sz w:val="24"/>
          <w14:textFill>
            <w14:solidFill>
              <w14:schemeClr w14:val="tx1"/>
            </w14:solidFill>
          </w14:textFill>
        </w:rPr>
        <w:t xml:space="preserve">2.落实政府采购政策需满足的资格要求：无</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3.本项目的特定资格要求：</w:t>
      </w:r>
      <w:bookmarkEnd w:id="10"/>
      <w:r/>
      <w:bookmarkEnd w:id="11"/>
      <w:r>
        <w:rPr>
          <w:rFonts w:hint="eastAsia" w:ascii="宋体" w:hAnsi="宋体" w:cs="宋体"/>
          <w:color w:val="000000" w:themeColor="text1"/>
          <w:sz w:val="24"/>
          <w14:textFill>
            <w14:solidFill>
              <w14:schemeClr w14:val="tx1"/>
            </w14:solidFill>
          </w14:textFill>
        </w:rPr>
        <w:t xml:space="preserve">无</w:t>
      </w:r>
      <w:r/>
    </w:p>
    <w:p>
      <w:pPr>
        <w:pStyle w:val="741"/>
        <w:ind w:firstLine="482"/>
        <w:jc w:val="left"/>
        <w:spacing w:line="460" w:lineRule="exact"/>
        <w:tabs>
          <w:tab w:val="left" w:pos="0" w:leader="none"/>
          <w:tab w:val="left" w:pos="3165" w:leader="none"/>
          <w:tab w:val="center" w:pos="4153" w:leader="none"/>
        </w:tabs>
        <w:rPr>
          <w:rFonts w:ascii="宋体" w:hAnsi="宋体" w:eastAsia="宋体" w:cs="宋体"/>
          <w:b/>
          <w:bCs/>
          <w:color w:val="000000" w:themeColor="text1"/>
          <w:sz w:val="24"/>
          <w:szCs w:val="24"/>
          <w14:textFill>
            <w14:solidFill>
              <w14:schemeClr w14:val="tx1"/>
            </w14:solidFill>
          </w14:textFill>
        </w:rPr>
      </w:pPr>
      <w:r/>
      <w:bookmarkStart w:id="12" w:name="_Toc28359005"/>
      <w:r/>
      <w:bookmarkStart w:id="13" w:name="_Toc35393624"/>
      <w:r/>
      <w:bookmarkStart w:id="14" w:name="_Toc28359082"/>
      <w:r/>
      <w:bookmarkStart w:id="15" w:name="_Toc35393793"/>
      <w:r/>
      <w:bookmarkStart w:id="16" w:name="_Toc28359085"/>
      <w:r/>
      <w:bookmarkStart w:id="17" w:name="_Toc28359008"/>
      <w:r/>
      <w:bookmarkStart w:id="18" w:name="_Toc35393627"/>
      <w:r/>
      <w:bookmarkStart w:id="19" w:name="_Toc35393796"/>
      <w:r>
        <w:rPr>
          <w:rFonts w:hint="eastAsia" w:ascii="宋体" w:hAnsi="宋体" w:eastAsia="宋体" w:cs="宋体"/>
          <w:b/>
          <w:bCs/>
          <w:color w:val="000000" w:themeColor="text1"/>
          <w:sz w:val="24"/>
          <w:szCs w:val="24"/>
          <w14:textFill>
            <w14:solidFill>
              <w14:schemeClr w14:val="tx1"/>
            </w14:solidFill>
          </w14:textFill>
        </w:rPr>
        <w:t xml:space="preserve">三、获取招标文件</w:t>
      </w:r>
      <w:bookmarkStart w:id="20" w:name="_Toc42249797"/>
      <w:r/>
      <w:bookmarkEnd w:id="20"/>
      <w:r/>
      <w:bookmarkStart w:id="21" w:name="QLCZYSX_1"/>
      <w:r/>
      <w:bookmarkEnd w:id="21"/>
      <w:r/>
      <w:bookmarkStart w:id="22" w:name="_Toc42249844"/>
      <w:r/>
      <w:bookmarkEnd w:id="22"/>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1.时间：自招标文件公告发布之日起5个工作日。</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2.地点：“苏采云”系统内免费下载（投标人必须在苏采云系统中获取采购文件，方能参与政府采购项目）。</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3.方式：本项目采用网上注册登记方式。 </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4.售价：0元。</w:t>
      </w:r>
      <w:bookmarkEnd w:id="12"/>
      <w:r/>
      <w:bookmarkEnd w:id="13"/>
      <w:r/>
      <w:bookmarkEnd w:id="14"/>
      <w:r/>
      <w:bookmarkEnd w:id="15"/>
      <w:r/>
      <w:r/>
    </w:p>
    <w:p>
      <w:pPr>
        <w:ind w:firstLine="482"/>
        <w:spacing w:line="460" w:lineRule="exact"/>
        <w:rPr>
          <w:rFonts w:ascii="宋体" w:hAnsi="宋体" w:cs="宋体"/>
          <w:b/>
          <w:bCs/>
          <w:color w:val="000000" w:themeColor="text1"/>
          <w:sz w:val="24"/>
          <w14:textFill>
            <w14:solidFill>
              <w14:schemeClr w14:val="tx1"/>
            </w14:solidFill>
          </w14:textFill>
        </w:rPr>
      </w:pPr>
      <w:r/>
      <w:bookmarkStart w:id="23" w:name="_Toc35393625"/>
      <w:r/>
      <w:bookmarkStart w:id="24" w:name="_Toc28359007"/>
      <w:r/>
      <w:bookmarkStart w:id="25" w:name="_Toc35393794"/>
      <w:r/>
      <w:bookmarkStart w:id="26" w:name="_Toc28359084"/>
      <w:r>
        <w:rPr>
          <w:rFonts w:hint="eastAsia" w:ascii="宋体" w:hAnsi="宋体" w:cs="宋体"/>
          <w:b/>
          <w:bCs/>
          <w:color w:val="000000" w:themeColor="text1"/>
          <w:sz w:val="24"/>
          <w14:textFill>
            <w14:solidFill>
              <w14:schemeClr w14:val="tx1"/>
            </w14:solidFill>
          </w14:textFill>
        </w:rPr>
        <w:t xml:space="preserve">四、提交投标文件截止时间、开标时间和地点</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1.时间：2025年11月20</w:t>
      </w:r>
      <w:r>
        <w:rPr>
          <w:rFonts w:hint="eastAsia" w:ascii="宋体" w:hAnsi="宋体" w:cs="宋体"/>
          <w:color w:val="000000" w:themeColor="text1"/>
          <w:sz w:val="24"/>
          <w14:textFill>
            <w14:solidFill>
              <w14:schemeClr w14:val="tx1"/>
            </w14:solidFill>
          </w14:textFill>
        </w:rPr>
        <w:t xml:space="preserve">日15：00（北京时间）</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2.地点：苏采云“不见面”开标大厅</w:t>
      </w:r>
      <w:r/>
    </w:p>
    <w:p>
      <w:pPr>
        <w:ind w:firstLine="482"/>
        <w:spacing w:line="46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五、公告期限</w:t>
      </w:r>
      <w:bookmarkEnd w:id="23"/>
      <w:r/>
      <w:bookmarkEnd w:id="24"/>
      <w:r/>
      <w:bookmarkEnd w:id="25"/>
      <w:r/>
      <w:bookmarkEnd w:id="26"/>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自本公告发布之日起5个工作日。</w:t>
      </w:r>
      <w:bookmarkStart w:id="27" w:name="_Toc35393795"/>
      <w:r/>
      <w:bookmarkEnd w:id="27"/>
      <w:r/>
      <w:bookmarkStart w:id="28" w:name="_Toc35393626"/>
      <w:r/>
      <w:bookmarkEnd w:id="28"/>
      <w:r/>
      <w:r/>
    </w:p>
    <w:p>
      <w:pPr>
        <w:numPr>
          <w:ilvl w:val="0"/>
          <w:numId w:val="2"/>
        </w:numPr>
        <w:ind w:firstLine="482"/>
        <w:spacing w:line="46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其他补充事宜</w:t>
      </w:r>
      <w:r/>
    </w:p>
    <w:p>
      <w:pPr>
        <w:pStyle w:val="785"/>
        <w:ind w:firstLine="480"/>
        <w:jc w:val="both"/>
        <w:spacing w:before="0" w:beforeAutospacing="0" w:after="0" w:afterAutospacing="0" w:line="460" w:lineRule="exact"/>
        <w:shd w:val="clear" w:color="auto" w:fill="ffffff"/>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办理指南和操作手册通过以下方式获取：盐城市政府采购网点击【办事指南】-【投标人参与政府采购活动相关资料】。</w:t>
      </w:r>
      <w:r/>
    </w:p>
    <w:p>
      <w:pPr>
        <w:pStyle w:val="785"/>
        <w:ind w:firstLine="480"/>
        <w:jc w:val="both"/>
        <w:spacing w:before="0" w:beforeAutospacing="0" w:after="0" w:afterAutospacing="0" w:line="460" w:lineRule="exact"/>
        <w:shd w:val="clear" w:color="auto" w:fill="ffffff"/>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领取CA和办理电子签章（请至亭湖区政务服务中心二楼226窗口办理，联系电话：15051556883，办理邮箱：yancheng@ideabank.net.cn，具体联系方式见《苏采云系统投标人操作手册》（以下简称《操作手册》），注册并按《操作手册》要求制作、上传电子投标文件。</w:t>
      </w:r>
      <w:r/>
    </w:p>
    <w:p>
      <w:pPr>
        <w:pStyle w:val="785"/>
        <w:ind w:firstLine="480"/>
        <w:jc w:val="both"/>
        <w:spacing w:before="0" w:beforeAutospacing="0" w:after="0" w:afterAutospacing="0" w:line="460" w:lineRule="exact"/>
        <w:shd w:val="clear" w:color="auto" w:fill="ffffff"/>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《苏采云系统投标人操作手册》获取方式：盐城市政府采购网-点击【办事指南】-【投标人参与政府采购活动相关资料】。</w:t>
      </w:r>
      <w:r/>
    </w:p>
    <w:p>
      <w:pPr>
        <w:pStyle w:val="785"/>
        <w:ind w:firstLine="480"/>
        <w:jc w:val="both"/>
        <w:spacing w:before="0" w:beforeAutospacing="0" w:after="0" w:afterAutospacing="0" w:line="460" w:lineRule="exact"/>
        <w:shd w:val="clear" w:color="auto" w:fill="ffffff"/>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2.潜在投标人访问电子招标响应交易平台的网络地址和方法：</w:t>
      </w:r>
      <w:r/>
    </w:p>
    <w:p>
      <w:pPr>
        <w:pStyle w:val="785"/>
        <w:ind w:firstLine="480"/>
        <w:jc w:val="both"/>
        <w:spacing w:before="0" w:beforeAutospacing="0" w:after="0" w:afterAutospacing="0" w:line="460" w:lineRule="exact"/>
        <w:shd w:val="clear" w:color="auto" w:fill="ffffff"/>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2.1 “苏采云”系统用户注册－－获取“CA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zip）--通过“苏采云”系统上传响应文件。具体见《“苏采云”系统投标人操作手册》 （手册下载地址：苏采云系统－右侧消息通知栏）。</w:t>
      </w:r>
      <w:r/>
    </w:p>
    <w:p>
      <w:pPr>
        <w:pStyle w:val="785"/>
        <w:ind w:firstLine="480"/>
        <w:jc w:val="both"/>
        <w:spacing w:before="0" w:beforeAutospacing="0" w:after="0" w:afterAutospacing="0" w:line="460" w:lineRule="exact"/>
        <w:shd w:val="clear" w:color="auto" w:fill="ffffff"/>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2.2潜在投标人访问“苏采云”系统方法：江苏省政府采购网首页－“苏采云”链接。</w:t>
      </w:r>
      <w:r/>
    </w:p>
    <w:p>
      <w:pPr>
        <w:pStyle w:val="785"/>
        <w:ind w:firstLine="480"/>
        <w:jc w:val="both"/>
        <w:spacing w:before="0" w:beforeAutospacing="0" w:after="0" w:afterAutospacing="0" w:line="460" w:lineRule="exact"/>
        <w:shd w:val="clear" w:color="auto" w:fill="ffffff"/>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2.3 采购文件（后缀名为“.kedt”）、投标人操作手册及政府采购客户端工具可通过“苏采云”系统相应链接进行下载。</w:t>
      </w:r>
      <w:r/>
    </w:p>
    <w:p>
      <w:pPr>
        <w:pStyle w:val="785"/>
        <w:ind w:firstLine="480"/>
        <w:jc w:val="both"/>
        <w:spacing w:before="0" w:beforeAutospacing="0" w:after="0" w:afterAutospacing="0" w:line="460" w:lineRule="exact"/>
        <w:shd w:val="clear" w:color="auto" w:fill="ffffff"/>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2.4采购代理机构将数据电文形式的采购文件加载至“苏采云”系统，供潜在投标人下载或者查阅。</w:t>
      </w:r>
      <w:r/>
    </w:p>
    <w:p>
      <w:pPr>
        <w:pStyle w:val="785"/>
        <w:ind w:firstLine="480"/>
        <w:jc w:val="both"/>
        <w:spacing w:before="0" w:beforeAutospacing="0" w:after="0" w:afterAutospacing="0" w:line="460" w:lineRule="exact"/>
        <w:shd w:val="clear" w:color="auto" w:fill="ffffff"/>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2.5请潜在投标单位提前安装相应的控件（详见《“苏采云”系统投标人操作手册》）并使用谷歌浏览器登录“苏采云”系统参与不见面开评标。</w:t>
      </w:r>
      <w:r/>
    </w:p>
    <w:p>
      <w:pPr>
        <w:pStyle w:val="785"/>
        <w:ind w:firstLine="480"/>
        <w:jc w:val="both"/>
        <w:spacing w:before="0" w:beforeAutospacing="0" w:after="0" w:afterAutospacing="0" w:line="460" w:lineRule="exact"/>
        <w:shd w:val="clear" w:color="auto" w:fill="ffffff"/>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如潜在投标人未按上述要求操作，将自行承担所产生的风险。</w:t>
      </w:r>
      <w:r/>
    </w:p>
    <w:p>
      <w:pPr>
        <w:pStyle w:val="785"/>
        <w:ind w:firstLine="480"/>
        <w:jc w:val="both"/>
        <w:spacing w:before="0" w:beforeAutospacing="0" w:after="0" w:afterAutospacing="0" w:line="460" w:lineRule="exact"/>
        <w:shd w:val="clear" w:color="auto" w:fill="ffffff"/>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3.有关本次招标的事项若存在变动或修改，敬请及时关注在“中国政府采购网”“江苏政府采购网”“盐城市政府采购网”发布的更正公告。</w:t>
      </w:r>
      <w:r/>
    </w:p>
    <w:p>
      <w:pPr>
        <w:pStyle w:val="785"/>
        <w:ind w:firstLine="480"/>
        <w:jc w:val="both"/>
        <w:spacing w:before="0" w:beforeAutospacing="0" w:after="0" w:afterAutospacing="0" w:line="460" w:lineRule="exact"/>
        <w:shd w:val="clear" w:color="auto" w:fill="ffffff"/>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4.本次招标不收取投标保证金，不收取质量保证金。</w:t>
      </w:r>
      <w:r/>
    </w:p>
    <w:p>
      <w:pPr>
        <w:ind w:firstLine="482"/>
        <w:spacing w:line="46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七、对本次招标提出询问，请按以下方式联系。</w:t>
      </w:r>
      <w:bookmarkEnd w:id="16"/>
      <w:r/>
      <w:bookmarkEnd w:id="17"/>
      <w:r/>
      <w:bookmarkEnd w:id="18"/>
      <w:r/>
      <w:bookmarkEnd w:id="19"/>
      <w:r/>
      <w:r/>
    </w:p>
    <w:p>
      <w:pPr>
        <w:ind w:left="1079" w:hanging="300"/>
        <w:jc w:val="left"/>
        <w:spacing w:line="460" w:lineRule="exact"/>
        <w:rPr>
          <w:rFonts w:ascii="宋体" w:hAnsi="宋体" w:cs="宋体"/>
          <w:color w:val="000000" w:themeColor="text1"/>
          <w:sz w:val="24"/>
          <w14:textFill>
            <w14:solidFill>
              <w14:schemeClr w14:val="tx1"/>
            </w14:solidFill>
          </w14:textFill>
        </w:rPr>
      </w:pPr>
      <w:r/>
      <w:bookmarkStart w:id="29" w:name="_Toc28359019"/>
      <w:r/>
      <w:bookmarkStart w:id="30" w:name="_Toc35393806"/>
      <w:r/>
      <w:bookmarkStart w:id="31" w:name="_Toc28359096"/>
      <w:r/>
      <w:bookmarkStart w:id="32" w:name="_Toc35393637"/>
      <w:r>
        <w:rPr>
          <w:rFonts w:hint="eastAsia" w:ascii="宋体" w:hAnsi="宋体" w:cs="宋体"/>
          <w:color w:val="000000" w:themeColor="text1"/>
          <w:sz w:val="24"/>
          <w14:textFill>
            <w14:solidFill>
              <w14:schemeClr w14:val="tx1"/>
            </w14:solidFill>
          </w14:textFill>
        </w:rPr>
        <w:t xml:space="preserve">1.采购人信息</w:t>
      </w:r>
      <w:bookmarkEnd w:id="29"/>
      <w:r/>
      <w:bookmarkEnd w:id="30"/>
      <w:r/>
      <w:bookmarkEnd w:id="31"/>
      <w:r/>
      <w:bookmarkEnd w:id="32"/>
      <w:r/>
      <w:r/>
    </w:p>
    <w:p>
      <w:pPr>
        <w:ind w:left="239" w:firstLine="660"/>
        <w:jc w:val="left"/>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    称：</w:t>
      </w:r>
      <w:r>
        <w:rPr>
          <w:rFonts w:hint="eastAsia" w:ascii="宋体" w:hAnsi="宋体" w:cs="宋体"/>
          <w:color w:val="000000" w:themeColor="text1"/>
          <w:sz w:val="24"/>
          <w:u w:val="single"/>
          <w14:textFill>
            <w14:solidFill>
              <w14:schemeClr w14:val="tx1"/>
            </w14:solidFill>
          </w14:textFill>
        </w:rPr>
        <w:t xml:space="preserve">盐城市应急管理局</w:t>
      </w:r>
      <w:r/>
    </w:p>
    <w:p>
      <w:pPr>
        <w:ind w:left="239" w:firstLine="660"/>
        <w:jc w:val="left"/>
        <w:spacing w:line="46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rPr>
          <w:rFonts w:ascii="宋体" w:hAnsi="宋体" w:cs="宋体"/>
          <w:color w:val="000000" w:themeColor="text1"/>
          <w:sz w:val="24"/>
          <w:u w:val="single"/>
          <w14:textFill>
            <w14:solidFill>
              <w14:schemeClr w14:val="tx1"/>
            </w14:solidFill>
          </w14:textFill>
        </w:rPr>
        <w:t xml:space="preserve">盐城市</w:t>
      </w:r>
      <w:r>
        <w:rPr>
          <w:rFonts w:hint="eastAsia" w:ascii="宋体" w:hAnsi="宋体" w:cs="宋体"/>
          <w:color w:val="000000" w:themeColor="text1"/>
          <w:sz w:val="24"/>
          <w:u w:val="single"/>
          <w14:textFill>
            <w14:solidFill>
              <w14:schemeClr w14:val="tx1"/>
            </w14:solidFill>
          </w14:textFill>
        </w:rPr>
        <w:t xml:space="preserve">亭湖区盐</w:t>
      </w:r>
      <w:r>
        <w:rPr>
          <w:rFonts w:ascii="宋体" w:hAnsi="宋体" w:cs="宋体"/>
          <w:color w:val="000000" w:themeColor="text1"/>
          <w:sz w:val="24"/>
          <w:u w:val="single"/>
          <w14:textFill>
            <w14:solidFill>
              <w14:schemeClr w14:val="tx1"/>
            </w14:solidFill>
          </w14:textFill>
        </w:rPr>
        <w:t xml:space="preserve">马路</w:t>
      </w:r>
      <w:r>
        <w:rPr>
          <w:rFonts w:hint="eastAsia" w:ascii="宋体" w:hAnsi="宋体" w:cs="宋体"/>
          <w:color w:val="000000" w:themeColor="text1"/>
          <w:sz w:val="24"/>
          <w:u w:val="single"/>
          <w14:textFill>
            <w14:solidFill>
              <w14:schemeClr w14:val="tx1"/>
            </w14:solidFill>
          </w14:textFill>
        </w:rPr>
        <w:t xml:space="preserve">246</w:t>
      </w:r>
      <w:r>
        <w:rPr>
          <w:rFonts w:ascii="宋体" w:hAnsi="宋体" w:cs="宋体"/>
          <w:color w:val="000000" w:themeColor="text1"/>
          <w:sz w:val="24"/>
          <w:u w:val="single"/>
          <w14:textFill>
            <w14:solidFill>
              <w14:schemeClr w14:val="tx1"/>
            </w14:solidFill>
          </w14:textFill>
        </w:rPr>
        <w:t xml:space="preserve">号</w:t>
      </w:r>
      <w:r/>
    </w:p>
    <w:p>
      <w:pPr>
        <w:ind w:firstLine="960"/>
        <w:jc w:val="left"/>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 系 人：</w:t>
      </w:r>
      <w:bookmarkStart w:id="33" w:name="OLE_LINK2"/>
      <w:r/>
      <w:bookmarkStart w:id="34" w:name="OLE_LINK3"/>
      <w:r>
        <w:rPr>
          <w:rFonts w:hint="eastAsia" w:ascii="宋体" w:hAnsi="宋体" w:cs="宋体"/>
          <w:color w:val="000000" w:themeColor="text1"/>
          <w:sz w:val="24"/>
          <w:u w:val="single"/>
          <w14:textFill>
            <w14:solidFill>
              <w14:schemeClr w14:val="tx1"/>
            </w14:solidFill>
          </w14:textFill>
        </w:rPr>
        <w:t xml:space="preserve">钱先生</w:t>
      </w:r>
      <w:bookmarkEnd w:id="33"/>
      <w:r/>
      <w:bookmarkEnd w:id="34"/>
      <w:r>
        <w:rPr>
          <w:rFonts w:hint="eastAsia" w:ascii="宋体" w:hAnsi="宋体" w:cs="宋体"/>
          <w:color w:val="000000" w:themeColor="text1"/>
          <w:sz w:val="24"/>
          <w14:textFill>
            <w14:solidFill>
              <w14:schemeClr w14:val="tx1"/>
            </w14:solidFill>
          </w14:textFill>
        </w:rPr>
        <w:t xml:space="preserve">               </w:t>
      </w:r>
      <w:r/>
    </w:p>
    <w:p>
      <w:pPr>
        <w:ind w:firstLine="960"/>
        <w:jc w:val="left"/>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联系方式：</w:t>
      </w:r>
      <w:bookmarkStart w:id="35" w:name="OLE_LINK4"/>
      <w:r>
        <w:rPr>
          <w:rFonts w:hint="eastAsia" w:ascii="宋体" w:hAnsi="宋体" w:cs="宋体"/>
          <w:color w:val="000000" w:themeColor="text1"/>
          <w:sz w:val="24"/>
          <w:u w:val="single"/>
          <w14:textFill>
            <w14:solidFill>
              <w14:schemeClr w14:val="tx1"/>
            </w14:solidFill>
          </w14:textFill>
        </w:rPr>
        <w:t xml:space="preserve">19952908128</w:t>
      </w:r>
      <w:bookmarkEnd w:id="35"/>
      <w:r/>
      <w:r/>
    </w:p>
    <w:p>
      <w:pPr>
        <w:ind w:left="1079" w:hanging="300"/>
        <w:jc w:val="left"/>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2.招标代理机构信息</w:t>
      </w:r>
      <w:r/>
    </w:p>
    <w:p>
      <w:pPr>
        <w:ind w:left="989"/>
        <w:jc w:val="left"/>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    称：</w:t>
      </w:r>
      <w:r>
        <w:rPr>
          <w:rFonts w:hint="eastAsia" w:ascii="宋体" w:hAnsi="宋体" w:cs="宋体"/>
          <w:color w:val="000000" w:themeColor="text1"/>
          <w:sz w:val="24"/>
          <w:u w:val="single"/>
          <w14:textFill>
            <w14:solidFill>
              <w14:schemeClr w14:val="tx1"/>
            </w14:solidFill>
          </w14:textFill>
        </w:rPr>
        <w:t xml:space="preserve">盐城富邦项目管理有限公司</w:t>
      </w:r>
      <w:r/>
    </w:p>
    <w:p>
      <w:pPr>
        <w:ind w:left="989"/>
        <w:jc w:val="left"/>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rPr>
          <w:rFonts w:hint="eastAsia" w:ascii="宋体" w:hAnsi="宋体" w:cs="宋体"/>
          <w:color w:val="000000" w:themeColor="text1"/>
          <w:sz w:val="24"/>
          <w:u w:val="single"/>
          <w14:textFill>
            <w14:solidFill>
              <w14:schemeClr w14:val="tx1"/>
            </w14:solidFill>
          </w14:textFill>
        </w:rPr>
        <w:t xml:space="preserve">盐城市金座广场A-710室</w:t>
      </w:r>
      <w:r/>
    </w:p>
    <w:p>
      <w:pPr>
        <w:ind w:left="989"/>
        <w:jc w:val="left"/>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 系 人：</w:t>
      </w:r>
      <w:r>
        <w:rPr>
          <w:rFonts w:hint="eastAsia" w:ascii="宋体" w:hAnsi="宋体" w:cs="宋体"/>
          <w:color w:val="000000" w:themeColor="text1"/>
          <w:sz w:val="24"/>
          <w:u w:val="single"/>
          <w14:textFill>
            <w14:solidFill>
              <w14:schemeClr w14:val="tx1"/>
            </w14:solidFill>
          </w14:textFill>
        </w:rPr>
        <w:t xml:space="preserve">徐女士</w:t>
      </w:r>
      <w:r>
        <w:rPr>
          <w:rFonts w:hint="eastAsia" w:ascii="宋体" w:hAnsi="宋体" w:cs="宋体"/>
          <w:color w:val="000000" w:themeColor="text1"/>
          <w:sz w:val="24"/>
          <w14:textFill>
            <w14:solidFill>
              <w14:schemeClr w14:val="tx1"/>
            </w14:solidFill>
          </w14:textFill>
        </w:rPr>
        <w:t xml:space="preserve">      </w:t>
      </w:r>
      <w:r/>
    </w:p>
    <w:p>
      <w:pPr>
        <w:ind w:left="989"/>
        <w:jc w:val="left"/>
        <w:spacing w:line="46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0515-88557817、15380587119</w:t>
      </w:r>
      <w:r/>
    </w:p>
    <w:p>
      <w:pPr>
        <w:ind w:left="1079" w:hanging="300"/>
        <w:jc w:val="left"/>
        <w:spacing w:line="460" w:lineRule="exact"/>
        <w:rPr>
          <w:rFonts w:ascii="宋体" w:hAnsi="宋体" w:cs="宋体"/>
          <w:color w:val="000000" w:themeColor="text1"/>
          <w:sz w:val="24"/>
          <w14:textFill>
            <w14:solidFill>
              <w14:schemeClr w14:val="tx1"/>
            </w14:solidFill>
          </w14:textFill>
        </w:rPr>
      </w:pPr>
      <w:r/>
      <w:bookmarkStart w:id="36" w:name="_Toc120614211"/>
      <w:r>
        <w:rPr>
          <w:rFonts w:hint="eastAsia" w:ascii="宋体" w:hAnsi="宋体" w:cs="宋体"/>
          <w:color w:val="000000" w:themeColor="text1"/>
          <w:sz w:val="24"/>
          <w14:textFill>
            <w14:solidFill>
              <w14:schemeClr w14:val="tx1"/>
            </w14:solidFill>
          </w14:textFill>
        </w:rPr>
        <w:t xml:space="preserve">3.项目联系方式</w:t>
      </w:r>
      <w:r/>
    </w:p>
    <w:p>
      <w:pPr>
        <w:ind w:left="1078" w:hanging="60"/>
        <w:jc w:val="left"/>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项目联系人：</w:t>
      </w:r>
      <w:r>
        <w:rPr>
          <w:rFonts w:hint="eastAsia" w:ascii="宋体" w:hAnsi="宋体" w:cs="宋体"/>
          <w:color w:val="000000" w:themeColor="text1"/>
          <w:sz w:val="24"/>
          <w:u w:val="single"/>
          <w14:textFill>
            <w14:solidFill>
              <w14:schemeClr w14:val="tx1"/>
            </w14:solidFill>
          </w14:textFill>
        </w:rPr>
        <w:t xml:space="preserve">钱先生</w:t>
      </w:r>
      <w:r/>
    </w:p>
    <w:p>
      <w:pPr>
        <w:ind w:left="1078" w:hanging="60"/>
        <w:jc w:val="left"/>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w:t>
      </w:r>
      <w:r>
        <w:rPr>
          <w:rFonts w:hint="eastAsia" w:ascii="宋体" w:hAnsi="宋体" w:cs="宋体"/>
          <w:color w:val="000000" w:themeColor="text1"/>
          <w:sz w:val="24"/>
          <w:u w:val="single"/>
          <w14:textFill>
            <w14:solidFill>
              <w14:schemeClr w14:val="tx1"/>
            </w14:solidFill>
          </w14:textFill>
        </w:rPr>
        <w:t xml:space="preserve">19952908128</w:t>
      </w:r>
      <w:r/>
    </w:p>
    <w:p>
      <w:pPr>
        <w:ind w:firstLine="960"/>
        <w:jc w:val="left"/>
        <w:spacing w:line="46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765"/>
        <w:spacing w:line="460" w:lineRule="exact"/>
        <w:rPr>
          <w:rFonts w:ascii="黑体" w:hAnsi="Times New Roman" w:eastAsia="黑体"/>
          <w:color w:val="000000" w:themeColor="text1"/>
          <w:sz w:val="44"/>
          <w:szCs w:val="44"/>
          <w14:textFill>
            <w14:solidFill>
              <w14:schemeClr w14:val="tx1"/>
            </w14:solidFill>
          </w14:textFill>
        </w:rPr>
      </w:pPr>
      <w:r>
        <w:rPr>
          <w:rFonts w:ascii="黑体" w:hAnsi="Times New Roman" w:eastAsia="黑体"/>
          <w:color w:val="000000" w:themeColor="text1"/>
          <w:sz w:val="44"/>
          <w:szCs w:val="44"/>
          <w14:textFill>
            <w14:solidFill>
              <w14:schemeClr w14:val="tx1"/>
            </w14:solidFill>
          </w14:textFill>
        </w:rPr>
      </w:r>
      <w:r/>
    </w:p>
    <w:p>
      <w:pPr>
        <w:pStyle w:val="741"/>
        <w:ind w:left="2660"/>
        <w:spacing w:line="460" w:lineRule="exact"/>
        <w:rPr>
          <w:rFonts w:ascii="黑体" w:eastAsia="黑体"/>
          <w:color w:val="000000" w:themeColor="text1"/>
          <w:sz w:val="44"/>
          <w:szCs w:val="44"/>
          <w14:textFill>
            <w14:solidFill>
              <w14:schemeClr w14:val="tx1"/>
            </w14:solidFill>
          </w14:textFill>
        </w:rPr>
      </w:pPr>
      <w:r>
        <w:rPr>
          <w:rFonts w:hint="eastAsia" w:ascii="黑体" w:eastAsia="黑体"/>
          <w:color w:val="000000" w:themeColor="text1"/>
          <w:sz w:val="44"/>
          <w:szCs w:val="44"/>
          <w14:textFill>
            <w14:solidFill>
              <w14:schemeClr w14:val="tx1"/>
            </w14:solidFill>
          </w14:textFill>
        </w:rPr>
        <w:t xml:space="preserve">第二章  </w:t>
      </w:r>
      <w:bookmarkEnd w:id="36"/>
      <w:r/>
      <w:bookmarkStart w:id="37" w:name="_Toc120614213"/>
      <w:r/>
      <w:bookmarkStart w:id="38" w:name="_Toc20823274"/>
      <w:r/>
      <w:bookmarkStart w:id="39" w:name="_Toc513029202"/>
      <w:r/>
      <w:bookmarkStart w:id="40" w:name="_Toc16938518"/>
      <w:r>
        <w:rPr>
          <w:rFonts w:hint="eastAsia" w:ascii="黑体" w:eastAsia="黑体"/>
          <w:color w:val="000000" w:themeColor="text1"/>
          <w:sz w:val="44"/>
          <w:szCs w:val="44"/>
          <w14:textFill>
            <w14:solidFill>
              <w14:schemeClr w14:val="tx1"/>
            </w14:solidFill>
          </w14:textFill>
        </w:rPr>
        <w:t xml:space="preserve">投标人须知</w:t>
      </w:r>
      <w:bookmarkEnd w:id="37"/>
      <w:r/>
      <w:bookmarkEnd w:id="38"/>
      <w:r/>
      <w:bookmarkEnd w:id="39"/>
      <w:r/>
      <w:bookmarkEnd w:id="40"/>
      <w:r/>
      <w:r/>
    </w:p>
    <w:p>
      <w:pPr>
        <w:pStyle w:val="743"/>
        <w:ind w:firstLine="321"/>
        <w:spacing w:before="143" w:after="143" w:line="460" w:lineRule="exact"/>
        <w:rPr>
          <w:color w:val="000000" w:themeColor="text1"/>
          <w14:textFill>
            <w14:solidFill>
              <w14:schemeClr w14:val="tx1"/>
            </w14:solidFill>
          </w14:textFill>
        </w:rPr>
      </w:pPr>
      <w:r/>
      <w:bookmarkStart w:id="41" w:name="_Toc513029203"/>
      <w:r/>
      <w:bookmarkStart w:id="42" w:name="_Toc20823275"/>
      <w:r/>
      <w:bookmarkStart w:id="43" w:name="_Toc120614214"/>
      <w:r/>
      <w:bookmarkStart w:id="44" w:name="_Toc16938519"/>
      <w:r>
        <w:rPr>
          <w:rFonts w:hint="eastAsia"/>
          <w:color w:val="000000" w:themeColor="text1"/>
          <w14:textFill>
            <w14:solidFill>
              <w14:schemeClr w14:val="tx1"/>
            </w14:solidFill>
          </w14:textFill>
        </w:rPr>
        <w:t xml:space="preserve">一、总则</w:t>
      </w:r>
      <w:bookmarkEnd w:id="41"/>
      <w:r/>
      <w:bookmarkEnd w:id="42"/>
      <w:r/>
      <w:bookmarkEnd w:id="43"/>
      <w:r/>
      <w:bookmarkEnd w:id="44"/>
      <w:r/>
      <w:r/>
    </w:p>
    <w:p>
      <w:pPr>
        <w:pStyle w:val="744"/>
        <w:ind w:firstLine="420"/>
        <w:spacing w:before="0" w:after="0" w:line="460" w:lineRule="exact"/>
        <w:rPr>
          <w:b w:val="0"/>
          <w:bCs w:val="0"/>
          <w:color w:val="000000" w:themeColor="text1"/>
          <w14:textFill>
            <w14:solidFill>
              <w14:schemeClr w14:val="tx1"/>
            </w14:solidFill>
          </w14:textFill>
        </w:rPr>
      </w:pPr>
      <w:r/>
      <w:bookmarkStart w:id="45" w:name="_Hlt16619475"/>
      <w:r/>
      <w:bookmarkEnd w:id="45"/>
      <w:r/>
      <w:bookmarkStart w:id="46" w:name="_Toc458694821"/>
      <w:r/>
      <w:bookmarkStart w:id="47" w:name="_Toc20823276"/>
      <w:r/>
      <w:bookmarkStart w:id="48" w:name="_Toc513029204"/>
      <w:r/>
      <w:bookmarkStart w:id="49" w:name="_Toc16938520"/>
      <w:r>
        <w:rPr>
          <w:rFonts w:hint="eastAsia"/>
          <w:b w:val="0"/>
          <w:bCs w:val="0"/>
          <w:color w:val="000000" w:themeColor="text1"/>
          <w14:textFill>
            <w14:solidFill>
              <w14:schemeClr w14:val="tx1"/>
            </w14:solidFill>
          </w14:textFill>
        </w:rPr>
        <w:t xml:space="preserve">1</w:t>
      </w:r>
      <w:bookmarkEnd w:id="46"/>
      <w:r>
        <w:rPr>
          <w:rFonts w:hint="eastAsia"/>
          <w:b w:val="0"/>
          <w:bCs w:val="0"/>
          <w:color w:val="000000" w:themeColor="text1"/>
          <w14:textFill>
            <w14:solidFill>
              <w14:schemeClr w14:val="tx1"/>
            </w14:solidFill>
          </w14:textFill>
        </w:rPr>
        <w:t xml:space="preserve">、招标方式</w:t>
      </w:r>
      <w:bookmarkEnd w:id="47"/>
      <w:r/>
      <w:bookmarkEnd w:id="48"/>
      <w:r/>
      <w:bookmarkEnd w:id="49"/>
      <w:r/>
      <w:r/>
    </w:p>
    <w:p>
      <w:p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 本次招标采取公开招标方式，本招标文件仅适用于招标公告中所述项目。</w:t>
      </w:r>
      <w:r/>
    </w:p>
    <w:p>
      <w:pPr>
        <w:pStyle w:val="744"/>
        <w:ind w:firstLine="420"/>
        <w:spacing w:before="0" w:after="0" w:line="460" w:lineRule="exact"/>
        <w:rPr>
          <w:b w:val="0"/>
          <w:bCs w:val="0"/>
          <w:color w:val="000000" w:themeColor="text1"/>
          <w14:textFill>
            <w14:solidFill>
              <w14:schemeClr w14:val="tx1"/>
            </w14:solidFill>
          </w14:textFill>
        </w:rPr>
      </w:pPr>
      <w:r/>
      <w:bookmarkStart w:id="50" w:name="_Toc16938521"/>
      <w:r/>
      <w:bookmarkStart w:id="51" w:name="_Toc513029205"/>
      <w:r/>
      <w:bookmarkStart w:id="52" w:name="_Toc20823277"/>
      <w:r>
        <w:rPr>
          <w:rFonts w:hint="eastAsia"/>
          <w:b w:val="0"/>
          <w:bCs w:val="0"/>
          <w:color w:val="000000" w:themeColor="text1"/>
          <w14:textFill>
            <w14:solidFill>
              <w14:schemeClr w14:val="tx1"/>
            </w14:solidFill>
          </w14:textFill>
        </w:rPr>
        <w:t xml:space="preserve">2、合格的</w:t>
      </w:r>
      <w:bookmarkEnd w:id="50"/>
      <w:r/>
      <w:bookmarkEnd w:id="51"/>
      <w:r/>
      <w:bookmarkEnd w:id="52"/>
      <w:r>
        <w:rPr>
          <w:rFonts w:hint="eastAsia"/>
          <w:b w:val="0"/>
          <w:bCs w:val="0"/>
          <w:color w:val="000000" w:themeColor="text1"/>
          <w14:textFill>
            <w14:solidFill>
              <w14:schemeClr w14:val="tx1"/>
            </w14:solidFill>
          </w14:textFill>
        </w:rPr>
        <w:t xml:space="preserve">投标人</w:t>
      </w:r>
      <w:r/>
    </w:p>
    <w:p>
      <w:p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 满足招标公告中投标人的资格要求的规定。</w:t>
      </w:r>
      <w:r/>
    </w:p>
    <w:p>
      <w:p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 满足本文件实质性条款的规定。</w:t>
      </w:r>
      <w:r/>
    </w:p>
    <w:p>
      <w:pPr>
        <w:pStyle w:val="744"/>
        <w:ind w:firstLine="420"/>
        <w:spacing w:before="0" w:after="0" w:line="460" w:lineRule="exact"/>
        <w:rPr>
          <w:b w:val="0"/>
          <w:bCs w:val="0"/>
          <w:color w:val="000000" w:themeColor="text1"/>
          <w14:textFill>
            <w14:solidFill>
              <w14:schemeClr w14:val="tx1"/>
            </w14:solidFill>
          </w14:textFill>
        </w:rPr>
      </w:pPr>
      <w:r/>
      <w:bookmarkStart w:id="53" w:name="_Toc20823278"/>
      <w:r/>
      <w:bookmarkStart w:id="54" w:name="_Toc513029206"/>
      <w:r/>
      <w:bookmarkStart w:id="55" w:name="_Toc16938522"/>
      <w:r>
        <w:rPr>
          <w:rFonts w:hint="eastAsia"/>
          <w:b w:val="0"/>
          <w:bCs w:val="0"/>
          <w:color w:val="000000" w:themeColor="text1"/>
          <w14:textFill>
            <w14:solidFill>
              <w14:schemeClr w14:val="tx1"/>
            </w14:solidFill>
          </w14:textFill>
        </w:rPr>
        <w:t xml:space="preserve">3、适用法律</w:t>
      </w:r>
      <w:bookmarkEnd w:id="53"/>
      <w:r/>
      <w:bookmarkEnd w:id="54"/>
      <w:r/>
      <w:bookmarkEnd w:id="55"/>
      <w:r/>
      <w:r/>
    </w:p>
    <w:p>
      <w:p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14:textFill>
            <w14:solidFill>
              <w14:schemeClr w14:val="tx1"/>
            </w14:solidFill>
          </w14:textFill>
        </w:rPr>
        <w:t xml:space="preserve">。</w:t>
      </w:r>
      <w:r/>
    </w:p>
    <w:p>
      <w:pPr>
        <w:pStyle w:val="744"/>
        <w:ind w:firstLine="420"/>
        <w:spacing w:before="0" w:after="0" w:line="460" w:lineRule="exact"/>
        <w:rPr>
          <w:b w:val="0"/>
          <w:bCs w:val="0"/>
          <w:color w:val="000000" w:themeColor="text1"/>
          <w14:textFill>
            <w14:solidFill>
              <w14:schemeClr w14:val="tx1"/>
            </w14:solidFill>
          </w14:textFill>
        </w:rPr>
      </w:pPr>
      <w:r/>
      <w:bookmarkStart w:id="56" w:name="_Toc513029207"/>
      <w:r/>
      <w:bookmarkStart w:id="57" w:name="_Toc462564067"/>
      <w:r/>
      <w:bookmarkStart w:id="58" w:name="_Toc16938523"/>
      <w:r/>
      <w:bookmarkStart w:id="59" w:name="_Toc20823279"/>
      <w:r>
        <w:rPr>
          <w:rFonts w:hint="eastAsia"/>
          <w:b w:val="0"/>
          <w:bCs w:val="0"/>
          <w:color w:val="000000" w:themeColor="text1"/>
          <w14:textFill>
            <w14:solidFill>
              <w14:schemeClr w14:val="tx1"/>
            </w14:solidFill>
          </w14:textFill>
        </w:rPr>
        <w:t xml:space="preserve">4、投标费用</w:t>
      </w:r>
      <w:bookmarkEnd w:id="56"/>
      <w:r/>
      <w:bookmarkEnd w:id="57"/>
      <w:r/>
      <w:bookmarkEnd w:id="58"/>
      <w:r/>
      <w:bookmarkEnd w:id="59"/>
      <w:r/>
      <w:r/>
    </w:p>
    <w:p>
      <w:p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4.1</w:t>
      </w:r>
      <w:r>
        <w:rPr>
          <w:rFonts w:hint="eastAsia" w:ascii="宋体" w:hAnsi="宋体"/>
          <w:color w:val="000000" w:themeColor="text1"/>
          <w:sz w:val="24"/>
          <w14:textFill>
            <w14:solidFill>
              <w14:schemeClr w14:val="tx1"/>
            </w14:solidFill>
          </w14:textFill>
        </w:rPr>
        <w:t xml:space="preserve">投标人应自行承担所有与参加投标有关的费用，无论投标过程中的做法和结果如何，采购人在任何情况下均无义务和责任承担这些费用。</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4.2 招标代理服务费（中标</w:t>
      </w:r>
      <w:r>
        <w:rPr>
          <w:rFonts w:ascii="宋体" w:hAnsi="宋体"/>
          <w:bCs/>
          <w:color w:val="000000" w:themeColor="text1"/>
          <w:sz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成交服务费）：根据代理合同约定苏政采协[2024]20号文收费标准的30%收取代理服务费，费用低于3000元按3000元计取，由中标人向代理公司支付。投标人投标时综合考虑招标代理服务费报价中，此项费用不得单列，凡漏项或少计均视为优惠采购人，不另行增加费用。中标后由中标人在领取中标（成交）通知书前直接向招标代理公司一次性付清。</w:t>
      </w:r>
      <w:r/>
    </w:p>
    <w:p>
      <w:pPr>
        <w:pStyle w:val="744"/>
        <w:ind w:firstLine="420"/>
        <w:spacing w:before="0" w:after="0" w:line="46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5、招标文件的约束力</w:t>
      </w:r>
      <w:r/>
    </w:p>
    <w:p>
      <w:p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5.1</w:t>
      </w:r>
      <w:r>
        <w:rPr>
          <w:rFonts w:hint="eastAsia" w:ascii="宋体" w:hAnsi="宋体" w:cs="宋体"/>
          <w:color w:val="000000" w:themeColor="text1"/>
          <w:sz w:val="24"/>
          <w:szCs w:val="20"/>
          <w14:textFill>
            <w14:solidFill>
              <w14:schemeClr w14:val="tx1"/>
            </w14:solidFill>
          </w14:textFill>
        </w:rPr>
        <w:t xml:space="preserve">投标人一旦参加本项目采购活动，即被认为接受了本招标文件的规定和约束。</w:t>
      </w:r>
      <w:r/>
    </w:p>
    <w:p>
      <w:pPr>
        <w:pStyle w:val="743"/>
        <w:ind w:firstLine="321"/>
        <w:spacing w:before="143" w:after="143" w:line="460" w:lineRule="exact"/>
        <w:rPr>
          <w:color w:val="000000" w:themeColor="text1"/>
          <w14:textFill>
            <w14:solidFill>
              <w14:schemeClr w14:val="tx1"/>
            </w14:solidFill>
          </w14:textFill>
        </w:rPr>
      </w:pPr>
      <w:r/>
      <w:bookmarkStart w:id="60" w:name="_Toc120614215"/>
      <w:r/>
      <w:bookmarkStart w:id="61" w:name="_Toc20823281"/>
      <w:r/>
      <w:bookmarkStart w:id="62" w:name="_Toc16938525"/>
      <w:r>
        <w:rPr>
          <w:rFonts w:hint="eastAsia"/>
          <w:color w:val="000000" w:themeColor="text1"/>
          <w14:textFill>
            <w14:solidFill>
              <w14:schemeClr w14:val="tx1"/>
            </w14:solidFill>
          </w14:textFill>
        </w:rPr>
        <w:t xml:space="preserve">二、招标文件</w:t>
      </w:r>
      <w:bookmarkEnd w:id="60"/>
      <w:r/>
      <w:bookmarkEnd w:id="61"/>
      <w:r/>
      <w:bookmarkEnd w:id="62"/>
      <w:r/>
      <w:r/>
    </w:p>
    <w:p>
      <w:pPr>
        <w:pStyle w:val="744"/>
        <w:ind w:firstLine="420"/>
        <w:spacing w:before="0" w:after="0" w:line="460" w:lineRule="exact"/>
        <w:rPr>
          <w:b w:val="0"/>
          <w:bCs w:val="0"/>
          <w:color w:val="000000" w:themeColor="text1"/>
          <w14:textFill>
            <w14:solidFill>
              <w14:schemeClr w14:val="tx1"/>
            </w14:solidFill>
          </w14:textFill>
        </w:rPr>
      </w:pPr>
      <w:r/>
      <w:bookmarkStart w:id="63" w:name="_Toc20823282"/>
      <w:r/>
      <w:bookmarkStart w:id="64" w:name="_Toc16938526"/>
      <w:r/>
      <w:bookmarkStart w:id="65" w:name="_Toc513029210"/>
      <w:r>
        <w:rPr>
          <w:rFonts w:hint="eastAsia"/>
          <w:b w:val="0"/>
          <w:bCs w:val="0"/>
          <w:color w:val="000000" w:themeColor="text1"/>
          <w14:textFill>
            <w14:solidFill>
              <w14:schemeClr w14:val="tx1"/>
            </w14:solidFill>
          </w14:textFill>
        </w:rPr>
        <w:t xml:space="preserve">6、招标文件构成</w:t>
      </w:r>
      <w:bookmarkEnd w:id="63"/>
      <w:r/>
      <w:bookmarkEnd w:id="64"/>
      <w:r/>
      <w:bookmarkEnd w:id="65"/>
      <w:r/>
      <w:r/>
    </w:p>
    <w:p>
      <w:p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 招标文件由以下部分组成：</w:t>
      </w:r>
      <w:r/>
    </w:p>
    <w:p>
      <w:pPr>
        <w:ind w:firstLine="360"/>
        <w:spacing w:line="4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（1）招标公告</w:t>
      </w:r>
      <w:r/>
    </w:p>
    <w:p>
      <w:pPr>
        <w:ind w:firstLine="360"/>
        <w:spacing w:line="4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（2）投标人须知</w:t>
      </w:r>
      <w:r/>
    </w:p>
    <w:p>
      <w:pPr>
        <w:ind w:firstLine="360"/>
        <w:spacing w:line="4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（3）合同文本</w:t>
      </w:r>
      <w:r/>
    </w:p>
    <w:p>
      <w:pPr>
        <w:ind w:firstLine="360"/>
        <w:spacing w:line="4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（4）采购需求</w:t>
      </w:r>
      <w:r/>
    </w:p>
    <w:p>
      <w:pPr>
        <w:ind w:firstLine="360"/>
        <w:spacing w:line="4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（5）评标方法与评标标准</w:t>
      </w:r>
      <w:r/>
    </w:p>
    <w:p>
      <w:pPr>
        <w:ind w:firstLine="360"/>
        <w:spacing w:line="4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（6）投标文件格式</w:t>
      </w:r>
      <w:r/>
    </w:p>
    <w:p>
      <w:p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请仔细检查招标文件是否齐全，如有缺漏请立即与招标代理机构联系解决。</w:t>
      </w:r>
      <w:r/>
    </w:p>
    <w:p>
      <w:p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6.2</w:t>
      </w:r>
      <w:r>
        <w:rPr>
          <w:rFonts w:hint="eastAsia" w:ascii="宋体" w:hAnsi="宋体"/>
          <w:color w:val="000000" w:themeColor="text1"/>
          <w:sz w:val="24"/>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4"/>
        <w:ind w:firstLine="420"/>
        <w:spacing w:before="0" w:after="0" w:line="46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7、招标文件的澄清</w:t>
      </w:r>
      <w:r/>
    </w:p>
    <w:p>
      <w:p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7.1任何要求对招标文件进行澄清的投标人，应在投标截止期十日前按招标公告中的通讯地址，以书面形式通知采购人。</w:t>
      </w:r>
      <w:r/>
    </w:p>
    <w:p>
      <w:pPr>
        <w:pStyle w:val="744"/>
        <w:ind w:firstLine="420"/>
        <w:spacing w:before="0" w:after="0" w:line="460" w:lineRule="exact"/>
        <w:rPr>
          <w:b w:val="0"/>
          <w:bCs w:val="0"/>
          <w:color w:val="000000" w:themeColor="text1"/>
          <w14:textFill>
            <w14:solidFill>
              <w14:schemeClr w14:val="tx1"/>
            </w14:solidFill>
          </w14:textFill>
        </w:rPr>
      </w:pPr>
      <w:r/>
      <w:bookmarkStart w:id="66" w:name="_Toc462564071"/>
      <w:r/>
      <w:bookmarkStart w:id="67" w:name="_Toc513029212"/>
      <w:r/>
      <w:bookmarkStart w:id="68" w:name="_Toc16938528"/>
      <w:r/>
      <w:bookmarkStart w:id="69" w:name="_Toc20823284"/>
      <w:r>
        <w:rPr>
          <w:rFonts w:hint="eastAsia"/>
          <w:b w:val="0"/>
          <w:bCs w:val="0"/>
          <w:color w:val="000000" w:themeColor="text1"/>
          <w14:textFill>
            <w14:solidFill>
              <w14:schemeClr w14:val="tx1"/>
            </w14:solidFill>
          </w14:textFill>
        </w:rPr>
        <w:t xml:space="preserve">8、招标文件的修改</w:t>
      </w:r>
      <w:bookmarkEnd w:id="66"/>
      <w:r/>
      <w:bookmarkEnd w:id="67"/>
      <w:r/>
      <w:bookmarkEnd w:id="68"/>
      <w:r/>
      <w:bookmarkEnd w:id="69"/>
      <w:r/>
      <w:r/>
    </w:p>
    <w:p>
      <w:p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8.1</w:t>
      </w:r>
      <w:r>
        <w:rPr>
          <w:rFonts w:hint="eastAsia" w:ascii="宋体" w:hAnsi="宋体"/>
          <w:color w:val="000000" w:themeColor="text1"/>
          <w:sz w:val="24"/>
          <w14:textFill>
            <w14:solidFill>
              <w14:schemeClr w14:val="tx1"/>
            </w14:solidFill>
          </w14:textFill>
        </w:rPr>
        <w:t xml:space="preserve"> 在投标截止时间</w:t>
      </w:r>
      <w:r>
        <w:rPr>
          <w:rFonts w:hint="eastAsia" w:ascii="仿宋_GB2312" w:hAnsi="仿宋_GB2312"/>
          <w:color w:val="000000" w:themeColor="text1"/>
          <w:sz w:val="24"/>
          <w14:textFill>
            <w14:solidFill>
              <w14:schemeClr w14:val="tx1"/>
            </w14:solidFill>
          </w14:textFill>
        </w:rPr>
        <w:t xml:space="preserve">前</w:t>
      </w:r>
      <w:r>
        <w:rPr>
          <w:rFonts w:hint="eastAsia" w:ascii="宋体" w:hAnsi="宋体"/>
          <w:color w:val="000000" w:themeColor="text1"/>
          <w:sz w:val="24"/>
          <w14:textFill>
            <w14:solidFill>
              <w14:schemeClr w14:val="tx1"/>
            </w14:solidFill>
          </w14:textFill>
        </w:rPr>
        <w:t xml:space="preserve">，采购人可以对招标文件进行修改。</w:t>
      </w:r>
      <w:r/>
    </w:p>
    <w:p>
      <w:pPr>
        <w:ind w:firstLine="480"/>
        <w:spacing w:line="460" w:lineRule="exact"/>
        <w:rPr>
          <w:rFonts w:ascii="宋体" w:hAnsi="Arial"/>
          <w:color w:val="000000" w:themeColor="text1"/>
          <w:sz w:val="28"/>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8.2 </w:t>
      </w:r>
      <w:r>
        <w:rPr>
          <w:rFonts w:hint="eastAsia" w:ascii="宋体" w:hAnsi="宋体"/>
          <w:color w:val="000000" w:themeColor="text1"/>
          <w:sz w:val="24"/>
          <w14:textFill>
            <w14:solidFill>
              <w14:schemeClr w14:val="tx1"/>
            </w14:solidFill>
          </w14:textFill>
        </w:rPr>
        <w:t xml:space="preserve">采购人有权按照法定的要求推迟投标截止日期和开标日期。</w:t>
      </w:r>
      <w:r/>
    </w:p>
    <w:p>
      <w:p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8.3</w:t>
      </w:r>
      <w:r>
        <w:rPr>
          <w:rFonts w:hint="eastAsia" w:ascii="宋体" w:hAnsi="宋体"/>
          <w:color w:val="000000" w:themeColor="text1"/>
          <w:sz w:val="24"/>
          <w14:textFill>
            <w14:solidFill>
              <w14:schemeClr w14:val="tx1"/>
            </w14:solidFill>
          </w14:textFill>
        </w:rPr>
        <w:t xml:space="preserve">招标文件的修改将在</w:t>
      </w:r>
      <w:r>
        <w:rPr>
          <w:rFonts w:hint="eastAsia" w:ascii="宋体" w:hAnsi="宋体" w:cs="宋体"/>
          <w:color w:val="000000" w:themeColor="text1"/>
          <w:sz w:val="24"/>
          <w14:textFill>
            <w14:solidFill>
              <w14:schemeClr w14:val="tx1"/>
            </w14:solidFill>
          </w14:textFill>
        </w:rPr>
        <w:t xml:space="preserve">中国政府采购网</w:t>
      </w:r>
      <w:r>
        <w:rPr>
          <w:rFonts w:hint="eastAsia" w:ascii="宋体" w:hAnsi="宋体" w:cs="宋体"/>
          <w:color w:val="000000" w:themeColor="text1"/>
          <w:sz w:val="24"/>
          <w:shd w:val="clear" w:color="auto" w:fill="ffffff"/>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江苏政府采购网、盐城市政府采购网</w:t>
      </w:r>
      <w:r>
        <w:rPr>
          <w:rFonts w:hint="eastAsia" w:ascii="宋体" w:hAnsi="宋体"/>
          <w:color w:val="000000" w:themeColor="text1"/>
          <w:sz w:val="24"/>
          <w14:textFill>
            <w14:solidFill>
              <w14:schemeClr w14:val="tx1"/>
            </w14:solidFill>
          </w14:textFill>
        </w:rPr>
        <w:t xml:space="preserve">公布，补充文件将作为招标文件的组成部分，并对投标人具有约束力。</w:t>
      </w:r>
      <w:r/>
    </w:p>
    <w:p>
      <w:pPr>
        <w:pStyle w:val="743"/>
        <w:ind w:firstLine="321"/>
        <w:spacing w:before="143" w:after="143" w:line="460" w:lineRule="exact"/>
        <w:rPr>
          <w:color w:val="000000" w:themeColor="text1"/>
          <w14:textFill>
            <w14:solidFill>
              <w14:schemeClr w14:val="tx1"/>
            </w14:solidFill>
          </w14:textFill>
        </w:rPr>
      </w:pPr>
      <w:r/>
      <w:bookmarkStart w:id="70" w:name="_Toc20823285"/>
      <w:r/>
      <w:bookmarkStart w:id="71" w:name="_Toc120614216"/>
      <w:r/>
      <w:bookmarkStart w:id="72" w:name="_Toc16938529"/>
      <w:r/>
      <w:bookmarkStart w:id="73" w:name="_Toc462564072"/>
      <w:r/>
      <w:bookmarkStart w:id="74" w:name="_Toc513029213"/>
      <w:r>
        <w:rPr>
          <w:rFonts w:hint="eastAsia"/>
          <w:color w:val="000000" w:themeColor="text1"/>
          <w14:textFill>
            <w14:solidFill>
              <w14:schemeClr w14:val="tx1"/>
            </w14:solidFill>
          </w14:textFill>
        </w:rPr>
        <w:t xml:space="preserve">三、投标文件的编制</w:t>
      </w:r>
      <w:bookmarkEnd w:id="70"/>
      <w:r/>
      <w:bookmarkEnd w:id="71"/>
      <w:r/>
      <w:bookmarkEnd w:id="72"/>
      <w:r/>
      <w:bookmarkEnd w:id="73"/>
      <w:r/>
      <w:bookmarkEnd w:id="74"/>
      <w:r/>
      <w:r/>
    </w:p>
    <w:p>
      <w:pPr>
        <w:pStyle w:val="744"/>
        <w:ind w:firstLine="420"/>
        <w:spacing w:before="0" w:after="0" w:line="460" w:lineRule="exact"/>
        <w:rPr>
          <w:bCs w:val="0"/>
          <w:color w:val="000000" w:themeColor="text1"/>
          <w14:textFill>
            <w14:solidFill>
              <w14:schemeClr w14:val="tx1"/>
            </w14:solidFill>
          </w14:textFill>
        </w:rPr>
      </w:pPr>
      <w:r/>
      <w:bookmarkStart w:id="75" w:name="_Toc20823286"/>
      <w:r/>
      <w:bookmarkStart w:id="76" w:name="_Toc16938530"/>
      <w:r/>
      <w:bookmarkStart w:id="77" w:name="_Toc462564073"/>
      <w:r/>
      <w:bookmarkStart w:id="78" w:name="_Toc513029214"/>
      <w:r>
        <w:rPr>
          <w:rFonts w:hint="eastAsia"/>
          <w:b w:val="0"/>
          <w:bCs w:val="0"/>
          <w:color w:val="000000" w:themeColor="text1"/>
          <w14:textFill>
            <w14:solidFill>
              <w14:schemeClr w14:val="tx1"/>
            </w14:solidFill>
          </w14:textFill>
        </w:rPr>
        <w:t xml:space="preserve">9、投标文件的语言及度量衡单位</w:t>
      </w:r>
      <w:bookmarkEnd w:id="75"/>
      <w:r/>
      <w:bookmarkEnd w:id="76"/>
      <w:r/>
      <w:bookmarkEnd w:id="77"/>
      <w:r/>
      <w:bookmarkEnd w:id="78"/>
      <w:r/>
      <w:r/>
    </w:p>
    <w:p>
      <w:p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9.1</w:t>
      </w:r>
      <w:r>
        <w:rPr>
          <w:rFonts w:hint="eastAsia" w:ascii="宋体" w:hAnsi="宋体"/>
          <w:color w:val="000000" w:themeColor="text1"/>
          <w:sz w:val="24"/>
          <w14:textFill>
            <w14:solidFill>
              <w14:schemeClr w14:val="tx1"/>
            </w14:solidFill>
          </w14:textFill>
        </w:rPr>
        <w:t xml:space="preserve"> 投标人提交的投标文件以及投标人与采购人就有关投标的所有来往通知、函件和文件均应使用简体中文。</w:t>
      </w:r>
      <w:r/>
    </w:p>
    <w:p>
      <w:p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9.2</w:t>
      </w:r>
      <w:r>
        <w:rPr>
          <w:rFonts w:hint="eastAsia" w:ascii="宋体" w:hAnsi="宋体"/>
          <w:color w:val="000000" w:themeColor="text1"/>
          <w:sz w:val="24"/>
          <w14:textFill>
            <w14:solidFill>
              <w14:schemeClr w14:val="tx1"/>
            </w14:solidFill>
          </w14:textFill>
        </w:rPr>
        <w:t xml:space="preserve"> 除技术性能另有规定外，投标文件所使用的度量衡单位，均须采用国家法定计量单位。</w:t>
      </w:r>
      <w:r/>
    </w:p>
    <w:p>
      <w:pPr>
        <w:pStyle w:val="744"/>
        <w:ind w:firstLine="420"/>
        <w:spacing w:before="0" w:after="0" w:line="460" w:lineRule="exact"/>
        <w:rPr>
          <w:b w:val="0"/>
          <w:bCs w:val="0"/>
          <w:color w:val="000000" w:themeColor="text1"/>
          <w14:textFill>
            <w14:solidFill>
              <w14:schemeClr w14:val="tx1"/>
            </w14:solidFill>
          </w14:textFill>
        </w:rPr>
      </w:pPr>
      <w:r/>
      <w:bookmarkStart w:id="79" w:name="_Toc16938531"/>
      <w:r/>
      <w:bookmarkStart w:id="80" w:name="_Toc462564074"/>
      <w:r/>
      <w:bookmarkStart w:id="81" w:name="_Toc513029215"/>
      <w:r/>
      <w:bookmarkStart w:id="82" w:name="_Toc20823287"/>
      <w:r>
        <w:rPr>
          <w:rFonts w:hint="eastAsia"/>
          <w:b w:val="0"/>
          <w:bCs w:val="0"/>
          <w:color w:val="000000" w:themeColor="text1"/>
          <w14:textFill>
            <w14:solidFill>
              <w14:schemeClr w14:val="tx1"/>
            </w14:solidFill>
          </w14:textFill>
        </w:rPr>
        <w:t xml:space="preserve">10、投标文件构成</w:t>
      </w:r>
      <w:bookmarkEnd w:id="79"/>
      <w:r/>
      <w:bookmarkEnd w:id="80"/>
      <w:r/>
      <w:bookmarkEnd w:id="81"/>
      <w:r/>
      <w:bookmarkEnd w:id="82"/>
      <w:r/>
      <w:r/>
    </w:p>
    <w:p>
      <w:p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744"/>
        <w:ind w:firstLine="420"/>
        <w:spacing w:before="0" w:after="0" w:line="460" w:lineRule="exact"/>
        <w:rPr>
          <w:b w:val="0"/>
          <w:bCs w:val="0"/>
          <w:color w:val="000000" w:themeColor="text1"/>
          <w14:textFill>
            <w14:solidFill>
              <w14:schemeClr w14:val="tx1"/>
            </w14:solidFill>
          </w14:textFill>
        </w:rPr>
      </w:pPr>
      <w:r/>
      <w:bookmarkStart w:id="83" w:name="_Hlt26954838"/>
      <w:r/>
      <w:bookmarkEnd w:id="83"/>
      <w:r/>
      <w:bookmarkStart w:id="84" w:name="_Hlt26668975"/>
      <w:r/>
      <w:bookmarkEnd w:id="84"/>
      <w:r/>
      <w:bookmarkStart w:id="85" w:name="_Hlt26670360"/>
      <w:r/>
      <w:bookmarkEnd w:id="85"/>
      <w:r>
        <w:rPr>
          <w:rFonts w:hint="eastAsia"/>
          <w:b w:val="0"/>
          <w:bCs w:val="0"/>
          <w:color w:val="000000" w:themeColor="text1"/>
          <w14:textFill>
            <w14:solidFill>
              <w14:schemeClr w14:val="tx1"/>
            </w14:solidFill>
          </w14:textFill>
        </w:rPr>
        <w:t xml:space="preserve">11、证明投标人及投标标的符合招标文件规定的文件</w:t>
      </w:r>
      <w:r/>
    </w:p>
    <w:p>
      <w:pPr>
        <w:ind w:firstLine="480"/>
        <w:spacing w:line="460" w:lineRule="exact"/>
        <w:rPr>
          <w:rFonts w:ascii="宋体" w:hAnsi="宋体"/>
          <w:bCs/>
          <w:color w:val="000000" w:themeColor="text1"/>
          <w:sz w:val="24"/>
          <w14:textFill>
            <w14:solidFill>
              <w14:schemeClr w14:val="tx1"/>
            </w14:solidFill>
          </w14:textFill>
        </w:rPr>
      </w:pPr>
      <w:r/>
      <w:bookmarkStart w:id="86" w:name="_Toc14577355"/>
      <w:r/>
      <w:bookmarkStart w:id="87" w:name="_Toc49090508"/>
      <w:r>
        <w:rPr>
          <w:rFonts w:hint="eastAsia" w:ascii="宋体" w:hAnsi="宋体"/>
          <w:bCs/>
          <w:color w:val="000000" w:themeColor="text1"/>
          <w:sz w:val="24"/>
          <w14:textFill>
            <w14:solidFill>
              <w14:schemeClr w14:val="tx1"/>
            </w14:solidFill>
          </w14:textFill>
        </w:rPr>
        <w:t xml:space="preserve">11.1 投标人应按照法律、法规、规章和规范性文件以及招标文件要求提交证明文件，证明其投标标的符合招标文件规定。</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11.2 招标文件对证明文件无明确形式要求的，证明文件可以以文字资料、图纸和数据等形式提交。</w:t>
      </w:r>
      <w:r/>
    </w:p>
    <w:p>
      <w:pPr>
        <w:pStyle w:val="744"/>
        <w:ind w:firstLine="420"/>
        <w:spacing w:before="0" w:after="0" w:line="46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12、投标分项报价表</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12.1 投标人应按照招标文件规定格式填报投标分项报价表。</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12.2 投标货币。投标文件中的单价和总价无特殊规定的采用人民币报价，以元为单位标注。招标文件中另有规定的按规定执行。</w:t>
      </w:r>
      <w:bookmarkEnd w:id="86"/>
      <w:r/>
      <w:bookmarkEnd w:id="87"/>
      <w:r/>
      <w:r/>
    </w:p>
    <w:p>
      <w:pPr>
        <w:ind w:firstLine="420"/>
        <w:spacing w:line="460" w:lineRule="exact"/>
        <w:rPr>
          <w:rFonts w:ascii="宋体" w:hAnsi="宋体"/>
          <w:bCs/>
          <w:color w:val="000000" w:themeColor="text1"/>
          <w:sz w:val="24"/>
          <w14:textFill>
            <w14:solidFill>
              <w14:schemeClr w14:val="tx1"/>
            </w14:solidFill>
          </w14:textFill>
        </w:rPr>
      </w:pPr>
      <w:r>
        <w:rPr>
          <w:rFonts w:hint="eastAsia"/>
          <w:bCs/>
          <w:color w:val="000000" w:themeColor="text1"/>
          <w:sz w:val="28"/>
          <w:szCs w:val="28"/>
          <w14:textFill>
            <w14:solidFill>
              <w14:schemeClr w14:val="tx1"/>
            </w14:solidFill>
          </w14:textFill>
        </w:rPr>
        <w:t xml:space="preserve">13</w:t>
      </w:r>
      <w:r>
        <w:rPr>
          <w:rFonts w:hint="eastAsia"/>
          <w:b/>
          <w:bCs/>
          <w:color w:val="000000" w:themeColor="text1"/>
          <w14:textFill>
            <w14:solidFill>
              <w14:schemeClr w14:val="tx1"/>
            </w14:solidFill>
          </w14:textFill>
        </w:rPr>
        <w:t xml:space="preserve">、</w:t>
      </w:r>
      <w:r>
        <w:rPr>
          <w:rFonts w:hint="eastAsia" w:ascii="黑体" w:hAnsi="宋体" w:eastAsia="黑体"/>
          <w:color w:val="000000" w:themeColor="text1"/>
          <w:sz w:val="28"/>
          <w:szCs w:val="28"/>
          <w14:textFill>
            <w14:solidFill>
              <w14:schemeClr w14:val="tx1"/>
            </w14:solidFill>
          </w14:textFill>
        </w:rPr>
        <w:t xml:space="preserve">技术参数响应及偏离表、商务条款响应及偏离表</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13.1投标人需对招标文件中的技术要求与商务要求逐项作出响应或偏离，并说明原因。</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13.2 投标人可在投标文件中提供认为需要的其他技术文件或说明。</w:t>
      </w:r>
      <w:r/>
    </w:p>
    <w:p>
      <w:pPr>
        <w:pStyle w:val="744"/>
        <w:ind w:firstLine="420"/>
        <w:spacing w:before="0" w:after="0" w:line="460" w:lineRule="exact"/>
        <w:rPr>
          <w:b w:val="0"/>
          <w:bCs w:val="0"/>
          <w:color w:val="000000" w:themeColor="text1"/>
          <w14:textFill>
            <w14:solidFill>
              <w14:schemeClr w14:val="tx1"/>
            </w14:solidFill>
          </w14:textFill>
        </w:rPr>
      </w:pPr>
      <w:r/>
      <w:bookmarkStart w:id="88" w:name="_Toc14577359"/>
      <w:r/>
      <w:bookmarkStart w:id="89" w:name="_Toc49090510"/>
      <w:r>
        <w:rPr>
          <w:rFonts w:hint="eastAsia"/>
          <w:b w:val="0"/>
          <w:bCs w:val="0"/>
          <w:color w:val="000000" w:themeColor="text1"/>
          <w14:textFill>
            <w14:solidFill>
              <w14:schemeClr w14:val="tx1"/>
            </w14:solidFill>
          </w14:textFill>
        </w:rPr>
        <w:t xml:space="preserve">14、投标函和开标一览表</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14.1 投标人应按照招标文件中提供的格式完整、正确填写投标函及开标一览表。</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14.2 对于采用货币报价的项目，开标一览表中的投标总报价应与投标分项报价表中的投标总报价一致，如不一致，不作为无效投标处理，但评标时按开标一览表中价格为准。</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14.3投标文件的大写金额和小写金额不一致的，以大写金额为准；对不同文字文本投标的解释发生异议的，以中文文本为准。</w:t>
      </w:r>
      <w:r/>
    </w:p>
    <w:p>
      <w:pPr>
        <w:pStyle w:val="744"/>
        <w:ind w:firstLine="420"/>
        <w:spacing w:before="0" w:after="0" w:line="46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15、</w:t>
      </w:r>
      <w:bookmarkEnd w:id="88"/>
      <w:r/>
      <w:bookmarkEnd w:id="89"/>
      <w:r/>
      <w:bookmarkStart w:id="90" w:name="_Toc14577360"/>
      <w:r/>
      <w:bookmarkStart w:id="91" w:name="_Toc49090511"/>
      <w:r>
        <w:rPr>
          <w:rFonts w:hint="eastAsia"/>
          <w:b w:val="0"/>
          <w:bCs w:val="0"/>
          <w:color w:val="000000" w:themeColor="text1"/>
          <w14:textFill>
            <w14:solidFill>
              <w14:schemeClr w14:val="tx1"/>
            </w14:solidFill>
          </w14:textFill>
        </w:rPr>
        <w:t xml:space="preserve">投标有效期</w:t>
      </w:r>
      <w:bookmarkEnd w:id="90"/>
      <w:r/>
      <w:bookmarkEnd w:id="91"/>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w:t>
      </w:r>
      <w:r>
        <w:rPr>
          <w:rFonts w:hint="eastAsia" w:ascii="宋体" w:hAnsi="宋体"/>
          <w:bCs/>
          <w:color w:val="000000" w:themeColor="text1"/>
          <w:sz w:val="24"/>
          <w14:textFill>
            <w14:solidFill>
              <w14:schemeClr w14:val="tx1"/>
            </w14:solidFill>
          </w14:textFill>
        </w:rPr>
        <w:t xml:space="preserve"> 投标有效期为采购人规定的开标之日后</w:t>
      </w:r>
      <w:r>
        <w:rPr>
          <w:rFonts w:hint="eastAsia" w:ascii="宋体" w:hAnsi="宋体" w:cs="宋体"/>
          <w:b/>
          <w:color w:val="000000" w:themeColor="text1"/>
          <w:sz w:val="24"/>
          <w:u w:val="single"/>
          <w14:textFill>
            <w14:solidFill>
              <w14:schemeClr w14:val="tx1"/>
            </w14:solidFill>
          </w14:textFill>
        </w:rPr>
        <w:t xml:space="preserve">九十（90）天</w:t>
      </w:r>
      <w:r>
        <w:rPr>
          <w:rFonts w:hint="eastAsia" w:ascii="宋体" w:hAnsi="宋体"/>
          <w:bCs/>
          <w:color w:val="000000" w:themeColor="text1"/>
          <w:sz w:val="24"/>
          <w14:textFill>
            <w14:solidFill>
              <w14:schemeClr w14:val="tx1"/>
            </w14:solidFill>
          </w14:textFill>
        </w:rPr>
        <w:t xml:space="preserve">。投标有效期比规定短的将被视为非响应性投标而予以拒绝。</w:t>
      </w:r>
      <w:r/>
    </w:p>
    <w:p>
      <w:pPr>
        <w:pStyle w:val="744"/>
        <w:ind w:firstLine="420"/>
        <w:spacing w:before="0" w:after="0" w:line="460" w:lineRule="exact"/>
        <w:rPr>
          <w:b w:val="0"/>
          <w:bCs w:val="0"/>
          <w:color w:val="000000" w:themeColor="text1"/>
          <w14:textFill>
            <w14:solidFill>
              <w14:schemeClr w14:val="tx1"/>
            </w14:solidFill>
          </w14:textFill>
        </w:rPr>
      </w:pPr>
      <w:r/>
      <w:bookmarkStart w:id="92" w:name="_Hlt26954852"/>
      <w:r/>
      <w:bookmarkEnd w:id="92"/>
      <w:r/>
      <w:bookmarkStart w:id="93" w:name="_Hlt26954739"/>
      <w:r/>
      <w:bookmarkEnd w:id="93"/>
      <w:r/>
      <w:bookmarkStart w:id="94" w:name="_Toc120614217"/>
      <w:r/>
      <w:bookmarkStart w:id="95" w:name="_Toc16938540"/>
      <w:r/>
      <w:bookmarkStart w:id="96" w:name="_Toc20823296"/>
      <w:r/>
      <w:bookmarkStart w:id="97" w:name="_Toc513029224"/>
      <w:r>
        <w:rPr>
          <w:rFonts w:hint="eastAsia"/>
          <w:b w:val="0"/>
          <w:bCs w:val="0"/>
          <w:color w:val="000000" w:themeColor="text1"/>
          <w14:textFill>
            <w14:solidFill>
              <w14:schemeClr w14:val="tx1"/>
            </w14:solidFill>
          </w14:textFill>
        </w:rPr>
        <w:t xml:space="preserve">16、投标有效期的延长</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16.1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743"/>
        <w:ind w:firstLine="321"/>
        <w:spacing w:before="143" w:after="143"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四、投标文件的递交</w:t>
      </w:r>
      <w:bookmarkEnd w:id="94"/>
      <w:r/>
      <w:bookmarkEnd w:id="95"/>
      <w:r/>
      <w:bookmarkEnd w:id="96"/>
      <w:r/>
      <w:bookmarkEnd w:id="97"/>
      <w:r/>
      <w:r/>
    </w:p>
    <w:p>
      <w:pPr>
        <w:pStyle w:val="744"/>
        <w:ind w:firstLine="420"/>
        <w:spacing w:before="0" w:after="0" w:line="460" w:lineRule="exact"/>
        <w:rPr>
          <w:b w:val="0"/>
          <w:bCs w:val="0"/>
          <w:color w:val="000000" w:themeColor="text1"/>
          <w14:textFill>
            <w14:solidFill>
              <w14:schemeClr w14:val="tx1"/>
            </w14:solidFill>
          </w14:textFill>
        </w:rPr>
      </w:pPr>
      <w:r/>
      <w:bookmarkStart w:id="98" w:name="_Toc462564084"/>
      <w:r/>
      <w:bookmarkStart w:id="99" w:name="_Toc16938541"/>
      <w:r/>
      <w:bookmarkStart w:id="100" w:name="_Toc20823297"/>
      <w:r/>
      <w:bookmarkStart w:id="101" w:name="_Toc513029225"/>
      <w:r/>
      <w:bookmarkStart w:id="102" w:name="_Toc513029226"/>
      <w:r/>
      <w:bookmarkStart w:id="103" w:name="_Toc20823298"/>
      <w:r/>
      <w:bookmarkStart w:id="104" w:name="_Toc16938542"/>
      <w:r>
        <w:rPr>
          <w:rFonts w:hint="eastAsia"/>
          <w:b w:val="0"/>
          <w:bCs w:val="0"/>
          <w:color w:val="000000" w:themeColor="text1"/>
          <w14:textFill>
            <w14:solidFill>
              <w14:schemeClr w14:val="tx1"/>
            </w14:solidFill>
          </w14:textFill>
        </w:rPr>
        <w:t xml:space="preserve">17、</w:t>
      </w:r>
      <w:bookmarkEnd w:id="98"/>
      <w:r/>
      <w:bookmarkEnd w:id="99"/>
      <w:r/>
      <w:bookmarkEnd w:id="100"/>
      <w:r/>
      <w:bookmarkEnd w:id="101"/>
      <w:r>
        <w:rPr>
          <w:rFonts w:hint="eastAsia"/>
          <w:b w:val="0"/>
          <w:bCs w:val="0"/>
          <w:color w:val="000000" w:themeColor="text1"/>
          <w14:textFill>
            <w14:solidFill>
              <w14:schemeClr w14:val="tx1"/>
            </w14:solidFill>
          </w14:textFill>
        </w:rPr>
        <w:t xml:space="preserve">电子投标文件的递交</w:t>
      </w:r>
      <w:r/>
    </w:p>
    <w:p>
      <w:pPr>
        <w:ind w:firstLine="480"/>
        <w:spacing w:line="460" w:lineRule="exact"/>
        <w:rPr>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17.1</w:t>
      </w:r>
      <w:r>
        <w:rPr>
          <w:rFonts w:hint="eastAsia"/>
          <w:bCs/>
          <w:color w:val="000000" w:themeColor="text1"/>
          <w:sz w:val="24"/>
          <w14:textFill>
            <w14:solidFill>
              <w14:schemeClr w14:val="tx1"/>
            </w14:solidFill>
          </w14:textFill>
        </w:rPr>
        <w:t xml:space="preserve">投标人应当按照《操作手册》规定，在投标截止时间前制作并上传电子投标文件。</w:t>
      </w:r>
      <w:r/>
    </w:p>
    <w:p>
      <w:pPr>
        <w:pStyle w:val="744"/>
        <w:ind w:firstLine="420"/>
        <w:spacing w:before="0" w:after="0" w:line="46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18、投标截止日期</w:t>
      </w:r>
      <w:bookmarkEnd w:id="102"/>
      <w:r/>
      <w:bookmarkEnd w:id="103"/>
      <w:r/>
      <w:bookmarkEnd w:id="104"/>
      <w:r/>
      <w:r/>
    </w:p>
    <w:p>
      <w:pPr>
        <w:pStyle w:val="785"/>
        <w:ind w:firstLine="480"/>
        <w:spacing w:before="0" w:beforeAutospacing="0" w:after="0" w:afterAutospacing="0" w:line="460" w:lineRule="exact"/>
        <w:rPr>
          <w:i/>
          <w:color w:val="000000" w:themeColor="text1"/>
          <w:u w:val="single"/>
          <w14:textFill>
            <w14:solidFill>
              <w14:schemeClr w14:val="tx1"/>
            </w14:solidFill>
          </w14:textFill>
        </w:rPr>
      </w:pPr>
      <w:r/>
      <w:bookmarkStart w:id="105" w:name="_Toc20823299"/>
      <w:r/>
      <w:bookmarkStart w:id="106" w:name="_Toc513029227"/>
      <w:r/>
      <w:bookmarkStart w:id="107" w:name="_Toc16938543"/>
      <w:r>
        <w:rPr>
          <w:rFonts w:hint="eastAsia"/>
          <w:i/>
          <w:color w:val="000000" w:themeColor="text1"/>
          <w:u w:val="single"/>
          <w14:textFill>
            <w14:solidFill>
              <w14:schemeClr w14:val="tx1"/>
            </w14:solidFill>
          </w14:textFill>
        </w:rPr>
        <w:t xml:space="preserve">18.1 投标人上传电子投标文件的时间不得迟于招标公告中规定的投标截止时间。</w:t>
      </w:r>
      <w:r/>
    </w:p>
    <w:p>
      <w:pPr>
        <w:pStyle w:val="785"/>
        <w:ind w:firstLine="480"/>
        <w:spacing w:before="0" w:beforeAutospacing="0" w:after="0" w:afterAutospacing="0"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投标人应充分考虑网络环境、网络带宽等风险因素，如因投标人自身原因造成的电子投标文件上传不成功的按照本招标文件第二章第26.1.2条规定做无效投标处理。</w:t>
      </w:r>
      <w:r/>
    </w:p>
    <w:p>
      <w:pPr>
        <w:pStyle w:val="785"/>
        <w:ind w:firstLine="480"/>
        <w:spacing w:before="0" w:beforeAutospacing="0" w:after="0" w:afterAutospacing="0"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 采购代理机构可以按照规定，通过修改招标文件酌情延长投标截止日期，在此情况下，投标人的所有权利和义务以及投标人受制的截止日期均应以延长后新的截止日期为准。</w:t>
      </w:r>
      <w:r/>
    </w:p>
    <w:p>
      <w:pPr>
        <w:pStyle w:val="744"/>
        <w:ind w:firstLine="420"/>
        <w:spacing w:before="0" w:after="0" w:line="46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19、</w:t>
      </w:r>
      <w:bookmarkEnd w:id="105"/>
      <w:r/>
      <w:bookmarkEnd w:id="106"/>
      <w:r/>
      <w:bookmarkEnd w:id="107"/>
      <w:r/>
      <w:bookmarkStart w:id="108" w:name="_Toc16938544"/>
      <w:r/>
      <w:bookmarkStart w:id="109" w:name="_Toc513029228"/>
      <w:r/>
      <w:bookmarkStart w:id="110" w:name="_Toc20823300"/>
      <w:r>
        <w:rPr>
          <w:rFonts w:hint="eastAsia"/>
          <w:b w:val="0"/>
          <w:bCs w:val="0"/>
          <w:color w:val="000000" w:themeColor="text1"/>
          <w14:textFill>
            <w14:solidFill>
              <w14:schemeClr w14:val="tx1"/>
            </w14:solidFill>
          </w14:textFill>
        </w:rPr>
        <w:t xml:space="preserve">投标文件的拒收</w:t>
      </w:r>
      <w:r/>
    </w:p>
    <w:p>
      <w:pPr>
        <w:pStyle w:val="744"/>
        <w:ind w:firstLine="480"/>
        <w:spacing w:before="0" w:after="0" w:line="460" w:lineRule="exact"/>
        <w:rPr>
          <w:rFonts w:ascii="宋体" w:hAnsi="宋体" w:eastAsia="宋体"/>
          <w:b w:val="0"/>
          <w:bCs w:val="0"/>
          <w:color w:val="000000" w:themeColor="text1"/>
          <w:sz w:val="24"/>
          <w:szCs w:val="24"/>
          <w14:textFill>
            <w14:solidFill>
              <w14:schemeClr w14:val="tx1"/>
            </w14:solidFill>
          </w14:textFill>
        </w:rPr>
      </w:pPr>
      <w:r>
        <w:rPr>
          <w:rFonts w:hint="eastAsia" w:ascii="宋体" w:hAnsi="宋体" w:eastAsia="宋体"/>
          <w:b w:val="0"/>
          <w:bCs w:val="0"/>
          <w:color w:val="000000" w:themeColor="text1"/>
          <w:sz w:val="24"/>
          <w:szCs w:val="24"/>
          <w14:textFill>
            <w14:solidFill>
              <w14:schemeClr w14:val="tx1"/>
            </w14:solidFill>
          </w14:textFill>
        </w:rPr>
        <w:t xml:space="preserve">19.1 采购代理机构拒绝接收在其规定的投标截止时间后上传的任何投标文件。</w:t>
      </w:r>
      <w:r/>
    </w:p>
    <w:p>
      <w:pPr>
        <w:pStyle w:val="744"/>
        <w:ind w:firstLine="420"/>
        <w:spacing w:before="0" w:after="0" w:line="46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20、投标文件的修改和撤回</w:t>
      </w:r>
      <w:bookmarkEnd w:id="108"/>
      <w:r/>
      <w:bookmarkEnd w:id="109"/>
      <w:r/>
      <w:bookmarkEnd w:id="110"/>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20.1 投标文件的撤回</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20.1.1 电子投标文件的撤回</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投标人可在投标截止时间前，撤回其电子投标文件，具体操作方法见《操作手册》。</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20.1.2 投标人撤回电子投标文件，则认为其不再参与本项目投标活动。</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20.2 投标文件的修改</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20.2.1投标人可在投标截止时间前，对其电子投标文件进行修改，具体操作方法见《操作手册》。</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20.2.2 在投标截止时间之后，投标人不得对其电子投标文件作任何修改。</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20.3 在投标截止时间至招标文件中规定的投标有效期满之间的这段时间内，投标人不得撤回其投标。</w:t>
      </w:r>
      <w:bookmarkStart w:id="111" w:name="_Toc513029229"/>
      <w:r/>
      <w:bookmarkStart w:id="112" w:name="_Toc20823301"/>
      <w:r/>
      <w:bookmarkStart w:id="113" w:name="_Toc120614218"/>
      <w:r/>
      <w:bookmarkStart w:id="114" w:name="_Toc16938545"/>
      <w:r/>
      <w:r/>
    </w:p>
    <w:p>
      <w:pPr>
        <w:pStyle w:val="743"/>
        <w:ind w:firstLine="321"/>
        <w:spacing w:before="143" w:after="143"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五、开标与评标</w:t>
      </w:r>
      <w:bookmarkEnd w:id="111"/>
      <w:r/>
      <w:bookmarkEnd w:id="112"/>
      <w:r/>
      <w:bookmarkEnd w:id="113"/>
      <w:r/>
      <w:bookmarkEnd w:id="114"/>
      <w:r/>
      <w:r/>
    </w:p>
    <w:p>
      <w:pPr>
        <w:pStyle w:val="744"/>
        <w:ind w:firstLine="420"/>
        <w:spacing w:before="0" w:after="0" w:line="460" w:lineRule="exact"/>
        <w:rPr>
          <w:b w:val="0"/>
          <w:bCs w:val="0"/>
          <w:color w:val="000000" w:themeColor="text1"/>
          <w14:textFill>
            <w14:solidFill>
              <w14:schemeClr w14:val="tx1"/>
            </w14:solidFill>
          </w14:textFill>
        </w:rPr>
      </w:pPr>
      <w:r/>
      <w:bookmarkStart w:id="115" w:name="_Toc513029230"/>
      <w:r/>
      <w:bookmarkStart w:id="116" w:name="_Toc16938546"/>
      <w:r/>
      <w:bookmarkStart w:id="117" w:name="_Toc20823302"/>
      <w:r>
        <w:rPr>
          <w:rFonts w:hint="eastAsia"/>
          <w:b w:val="0"/>
          <w:bCs w:val="0"/>
          <w:color w:val="000000" w:themeColor="text1"/>
          <w14:textFill>
            <w14:solidFill>
              <w14:schemeClr w14:val="tx1"/>
            </w14:solidFill>
          </w14:textFill>
        </w:rPr>
        <w:t xml:space="preserve">21、开标</w:t>
      </w:r>
      <w:bookmarkEnd w:id="115"/>
      <w:r/>
      <w:bookmarkEnd w:id="116"/>
      <w:r/>
      <w:bookmarkEnd w:id="117"/>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21.1 采购代理机构将在招标公告中规定的时间和地点组织公开开标。投标人应当按照《操作手册》规定，参加开标活动和在苏采云系统规定的时间内对投标文件进行解密。</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21.2 开标仪式由采购代理机构组织。苏采云系统将自动对项目进行开标，并宣布各投标人名称和投标价格。</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21.3 投标人在开标过程中涉及到的投标文件解密、开标结果确认等工作，应按照《操作手册》规定执行。</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21.4 投标人如果对开标过程和开标记录有疑义，应当根据《操作手册》规定提出，如苏采云系统中《开标记录表》宣布后5分钟内未提出的，视同认可开标结果。</w:t>
      </w:r>
      <w:r/>
    </w:p>
    <w:p>
      <w:pPr>
        <w:pStyle w:val="744"/>
        <w:ind w:firstLine="420"/>
        <w:spacing w:before="0" w:after="0" w:line="46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22、评标委员会</w:t>
      </w:r>
      <w:r/>
    </w:p>
    <w:p>
      <w:pPr>
        <w:pStyle w:val="785"/>
        <w:ind w:firstLine="480"/>
        <w:spacing w:before="0" w:beforeAutospacing="0" w:after="0" w:afterAutospacing="0"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22.1 开标后，采购代理机构将立即组织评标委员会（以下简称评委会）进行评标。</w:t>
      </w:r>
      <w:r/>
    </w:p>
    <w:p>
      <w:pPr>
        <w:pStyle w:val="785"/>
        <w:ind w:firstLine="480"/>
        <w:spacing w:before="0" w:beforeAutospacing="0" w:after="0" w:afterAutospacing="0"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 评委会由采购人代表和有关技术、经济等方面的专家组成，且人员构成符合政府采购有关规定。</w:t>
      </w:r>
      <w:r/>
    </w:p>
    <w:p>
      <w:pPr>
        <w:pStyle w:val="785"/>
        <w:ind w:firstLine="480"/>
        <w:spacing w:before="0" w:beforeAutospacing="0" w:after="0" w:afterAutospacing="0"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22.3 评委会独立工作，负责评审所有投标文件并确定中标候选人。</w:t>
      </w:r>
      <w:r/>
    </w:p>
    <w:p>
      <w:pPr>
        <w:pStyle w:val="744"/>
        <w:ind w:firstLine="420"/>
        <w:spacing w:before="0" w:after="0" w:line="46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23、评标过程的保密与公正</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23.2 在评标过程中，投标人不得以任何行为影响评标过程，否则其投标文件将被作为无效投标文件。</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23.3 采购代理机构和评标委员会不向未中标的投标人解释未中标原因，也不公布评标过程中的相关细节。</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pStyle w:val="744"/>
        <w:ind w:firstLine="420"/>
        <w:spacing w:before="0" w:after="0" w:line="46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24．投标文件的澄清</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24.1 评标期间，评委会对投标文件中含义不明确、同类问题表述不一致或者有明显文字和计算错误的内容，有权要求投标人作出必要的澄清、说明或者补正。</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投标人的澄清、说明或者补正不得超出投标文件的范围或者改变投标文件的实质性内容。</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评标委员会并非对每个投标人都做澄清要求。</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24.3 接到评委会澄清、说明和补正要求的投标人如未按规定作出澄清、说明和补正，其风险由投标人自行承担。</w:t>
      </w:r>
      <w:r/>
    </w:p>
    <w:p>
      <w:pPr>
        <w:pStyle w:val="744"/>
        <w:ind w:firstLine="560"/>
        <w:spacing w:before="0" w:after="0" w:line="46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25、对投标文件的初审</w:t>
      </w:r>
      <w:r/>
    </w:p>
    <w:p>
      <w:pPr>
        <w:ind w:firstLine="480"/>
        <w:spacing w:line="460" w:lineRule="exact"/>
        <w:rPr>
          <w:rFonts w:ascii="宋体" w:hAnsi="宋体"/>
          <w:bCs/>
          <w:color w:val="000000" w:themeColor="text1"/>
          <w:sz w:val="24"/>
          <w14:textFill>
            <w14:solidFill>
              <w14:schemeClr w14:val="tx1"/>
            </w14:solidFill>
          </w14:textFill>
        </w:rPr>
      </w:pPr>
      <w:r/>
      <w:bookmarkStart w:id="118" w:name="_Toc16938551"/>
      <w:r/>
      <w:bookmarkStart w:id="119" w:name="_Toc20823307"/>
      <w:r/>
      <w:bookmarkStart w:id="120" w:name="_Toc513029235"/>
      <w:r/>
      <w:bookmarkStart w:id="121" w:name="_Toc120614219"/>
      <w:r>
        <w:rPr>
          <w:rFonts w:hint="eastAsia" w:ascii="宋体" w:hAnsi="宋体"/>
          <w:bCs/>
          <w:color w:val="000000" w:themeColor="text1"/>
          <w:sz w:val="24"/>
          <w14:textFill>
            <w14:solidFill>
              <w14:schemeClr w14:val="tx1"/>
            </w14:solidFill>
          </w14:textFill>
        </w:rPr>
        <w:t xml:space="preserve">25.1 投标文件初审分为资格审查和符合性审查。</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25.1.2 符合性审查：依据招标文件的规定，由评委会对投标文件的有效性、完整性和对招标文件的响应程度进行审查，以确定是否对招标文件的实质性要求作出响应。</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25.3 如果投标文件实质上没有响应招标文件的要求，评委会将予以拒绝，投标人不得通过修改或撤销不符合要求的偏离或保留而使其投标成为实质性响应的投标。</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25.4 评委会将对确定为实质性响应的投标进行进一步审核，看其是否有计算上或累加上的算术错误，修正错误的原则如下：</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（1）投标文件中开标一览表内容与投标文件中相应内容不一致的，以开标一览表为准。</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（2）大写金额和小写金额不一致的，以大写金额为准。</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（4）总价金额与按单价汇总金额不一致的，以单价金额计算结果为准。</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同时出现两种以上错误的，按照前款规定的顺序修正。</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25.6 投标人在开、评标全过程中应保持通讯畅通，及时登录苏采云系统查阅、答复相关信息，并安排专人与采购代理机构及评标委员会联系。</w:t>
      </w:r>
      <w:r/>
    </w:p>
    <w:p>
      <w:pPr>
        <w:pStyle w:val="744"/>
        <w:ind w:firstLine="420"/>
        <w:spacing w:before="0" w:after="0" w:line="46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26、无效投标条款和废标条款</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 无效投标条款</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 投标人在苏采云系统规定的时间内未成功解密电子投标文件的。</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 投标人未按照招标文件要求上传电子投标文件的。</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26.1.3 同一投标人提交两个（含两个）以上不同的投标报价的。</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26.1.4 投标人不具备招标文件中规定资格要求的。</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26.1.5 投标人的报价超过了采购预算或最高限价的。</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26.1.6 未通过符合性审查的。</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26.1.7 不符合招标文件中规定的实质性要求和条件的</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i/>
          <w:color w:val="000000" w:themeColor="text1"/>
          <w:sz w:val="24"/>
          <w:u w:val="single"/>
          <w14:textFill>
            <w14:solidFill>
              <w14:schemeClr w14:val="tx1"/>
            </w14:solidFill>
          </w14:textFill>
        </w:rPr>
        <w:t xml:space="preserve">本招标文件中斜体且有下划线部分为实质性要求和条件）</w:t>
      </w:r>
      <w:r>
        <w:rPr>
          <w:rFonts w:hint="eastAsia" w:ascii="宋体" w:hAnsi="宋体"/>
          <w:bCs/>
          <w:color w:val="000000" w:themeColor="text1"/>
          <w:sz w:val="24"/>
          <w14:textFill>
            <w14:solidFill>
              <w14:schemeClr w14:val="tx1"/>
            </w14:solidFill>
          </w14:textFill>
        </w:rPr>
        <w:t xml:space="preserve">。</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26.1.9 投标文件含有采购人不能接受的附加条件的。</w:t>
      </w:r>
      <w:r/>
    </w:p>
    <w:p>
      <w:pPr>
        <w:pStyle w:val="785"/>
        <w:ind w:firstLine="480"/>
        <w:jc w:val="both"/>
        <w:spacing w:beforeAutospacing="0" w:afterAutospacing="0" w:line="460" w:lineRule="exac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26.1.10 投标人不能证明其报价合理性的，评标委员会应当将其作为无效投标处理。</w:t>
      </w:r>
      <w:r/>
    </w:p>
    <w:p>
      <w:pPr>
        <w:pStyle w:val="785"/>
        <w:ind w:firstLine="480"/>
        <w:jc w:val="both"/>
        <w:spacing w:beforeAutospacing="0" w:afterAutospacing="0" w:line="460" w:lineRule="exac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（一）评审过程中出现下列情形之一的，评标委员会应当启动异常低价投标审查程序：</w:t>
      </w:r>
      <w:r/>
    </w:p>
    <w:p>
      <w:pPr>
        <w:pStyle w:val="785"/>
        <w:ind w:firstLine="480"/>
        <w:jc w:val="both"/>
        <w:spacing w:beforeAutospacing="0" w:afterAutospacing="0" w:line="460" w:lineRule="exac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1.投标报价低于采购项目预算50% 的，即投标报价&lt;采购项目预算×50%；</w:t>
      </w:r>
      <w:r/>
    </w:p>
    <w:p>
      <w:pPr>
        <w:pStyle w:val="785"/>
        <w:ind w:firstLine="480"/>
        <w:jc w:val="both"/>
        <w:spacing w:beforeAutospacing="0" w:afterAutospacing="0" w:line="460" w:lineRule="exac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2.投标报价低于采购项目最高限价45% 的，即投标报价&lt;采购项目最高限价×45%；</w:t>
      </w:r>
      <w:r/>
    </w:p>
    <w:p>
      <w:pPr>
        <w:pStyle w:val="785"/>
        <w:ind w:firstLine="480"/>
        <w:jc w:val="both"/>
        <w:spacing w:beforeAutospacing="0" w:afterAutospacing="0" w:line="460" w:lineRule="exac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3.评标委员会认定的投标人报价过低、有可能影响产品质量或者不能诚信履约的其他情形。</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投标人不提供书面说明、证明材料，或者提供的书面说明、证明材料不能证明其报价合理性的，评标委员会应当将其作为无效投标处理。审查相关情况应当在评审报告中进行记录。</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26.1.11投标文件未按照招标文件要求加盖CA电子公章的。</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26.1.12其他法律、法规及本招标文件规定的属无效投标的情形。</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 废标条款</w:t>
      </w:r>
      <w:r/>
    </w:p>
    <w:p>
      <w:pPr>
        <w:ind w:left="479"/>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26.2.1符合专业条件的投标人或者对招标文件作实质响应的投标人不足三家的。26.2.2 出现影响采购公正的违法、违规行为的。</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26.2.3 因重大变故，采购任务取消的。</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26.2.4 评标委员会认定招标文件存在歧义、重大缺陷导致评审工作无法进行。</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26.2.5 因苏采云系统系统故障原因造成开标不成功的。</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 投标截止时间结束后参加投标的投标人不足三家的处理：</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26.3.1 如出现投标截止时间结束后参加投标的投标人或者在评标期间对招标文件做出实质响应的投标人不足三家情况，按政府采购相关规定执行。</w:t>
      </w:r>
      <w:r/>
    </w:p>
    <w:p>
      <w:pPr>
        <w:pStyle w:val="744"/>
        <w:ind w:firstLine="482"/>
        <w:spacing w:before="0" w:after="0" w:line="460" w:lineRule="exact"/>
        <w:rPr>
          <w:rFonts w:ascii="宋体" w:hAnsi="宋体" w:eastAsia="宋体" w:cs="宋体"/>
          <w:b w:val="0"/>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六、</w:t>
      </w:r>
      <w:bookmarkEnd w:id="118"/>
      <w:r/>
      <w:bookmarkEnd w:id="119"/>
      <w:r/>
      <w:bookmarkEnd w:id="120"/>
      <w:r>
        <w:rPr>
          <w:rFonts w:hint="eastAsia" w:ascii="宋体" w:hAnsi="宋体" w:eastAsia="宋体" w:cs="宋体"/>
          <w:color w:val="000000" w:themeColor="text1"/>
          <w:sz w:val="32"/>
          <w:szCs w:val="32"/>
          <w14:textFill>
            <w14:solidFill>
              <w14:schemeClr w14:val="tx1"/>
            </w14:solidFill>
          </w14:textFill>
        </w:rPr>
        <w:t xml:space="preserve">定标</w:t>
      </w:r>
      <w:bookmarkEnd w:id="121"/>
      <w:r/>
      <w:bookmarkStart w:id="122" w:name="_Toc513029238"/>
      <w:r/>
      <w:bookmarkEnd w:id="122"/>
      <w:r/>
      <w:bookmarkStart w:id="123" w:name="_Toc16938554"/>
      <w:r/>
      <w:bookmarkEnd w:id="123"/>
      <w:r/>
      <w:bookmarkStart w:id="124" w:name="_Toc20823310"/>
      <w:r/>
      <w:bookmarkEnd w:id="124"/>
      <w:r/>
      <w:r/>
    </w:p>
    <w:p>
      <w:pPr>
        <w:pStyle w:val="744"/>
        <w:ind w:firstLine="420"/>
        <w:spacing w:before="0" w:after="0" w:line="460" w:lineRule="exact"/>
        <w:rPr>
          <w:b w:val="0"/>
          <w:bCs w:val="0"/>
          <w:color w:val="000000" w:themeColor="text1"/>
          <w14:textFill>
            <w14:solidFill>
              <w14:schemeClr w14:val="tx1"/>
            </w14:solidFill>
          </w14:textFill>
        </w:rPr>
      </w:pPr>
      <w:r/>
      <w:bookmarkStart w:id="125" w:name="_Toc23828480"/>
      <w:r/>
      <w:bookmarkStart w:id="126" w:name="_Toc61149622"/>
      <w:r/>
      <w:bookmarkStart w:id="127" w:name="_Toc26554097"/>
      <w:r>
        <w:rPr>
          <w:rFonts w:hint="eastAsia"/>
          <w:b w:val="0"/>
          <w:bCs w:val="0"/>
          <w:color w:val="000000" w:themeColor="text1"/>
          <w14:textFill>
            <w14:solidFill>
              <w14:schemeClr w14:val="tx1"/>
            </w14:solidFill>
          </w14:textFill>
        </w:rPr>
        <w:t xml:space="preserve">27、确定中标单位</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27.1 中标候选人的选取原则和数量见招标文件第五章规定。 </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27.2 采购人应根据评委会推荐的中标候选人确定中标人。</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27.3</w:t>
      </w:r>
      <w:r>
        <w:rPr>
          <w:rFonts w:hint="eastAsia" w:ascii="宋体" w:hAnsi="宋体"/>
          <w:bCs/>
          <w:color w:val="000000" w:themeColor="text1"/>
          <w:sz w:val="24"/>
          <w14:textFill>
            <w14:solidFill>
              <w14:schemeClr w14:val="tx1"/>
            </w14:solidFill>
          </w14:textFill>
        </w:rPr>
        <w:t xml:space="preserve">采</w:t>
      </w:r>
      <w:r>
        <w:rPr>
          <w:rFonts w:hint="eastAsia" w:ascii="宋体" w:hAnsi="宋体"/>
          <w:bCs/>
          <w:color w:val="000000" w:themeColor="text1"/>
          <w:sz w:val="24"/>
          <w14:textFill>
            <w14:solidFill>
              <w14:schemeClr w14:val="tx1"/>
            </w14:solidFill>
          </w14:textFill>
        </w:rPr>
        <w:t xml:space="preserve">购代理机构将在“中国政府采购网”“江苏政府采购网”“盐城市政府采购网”发布中标公告，公告期限为1个工作日。</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27.4 有充分证据证明，中标人出现下列情况之一的，一经查实，将被取消中标资格：</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27.4.1 提供虚假材料谋取中标的。</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27.4.2 向采购人、采购代理机构行贿或者提供其他不正当利益的。</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27.4.3 属于本文件规定的无效条件，但在评标过程中又未被评委会发现的。</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27.4.4 与采购人或者其他投标人恶意串通的。</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27.4.5 采取不正当手段诋毁、排挤其他投标人的。</w:t>
      </w:r>
      <w:r/>
    </w:p>
    <w:p>
      <w:pPr>
        <w:ind w:firstLine="480"/>
        <w:spacing w:line="460" w:lineRule="exact"/>
        <w:rPr>
          <w:rFonts w:ascii="宋体" w:hAnsi="宋体"/>
          <w:bCs/>
          <w:color w:val="000000" w:themeColor="text1"/>
          <w:sz w:val="24"/>
          <w14:textFill>
            <w14:solidFill>
              <w14:schemeClr w14:val="tx1"/>
            </w14:solidFill>
          </w14:textFill>
        </w:rPr>
      </w:pPr>
      <w:r/>
      <w:bookmarkStart w:id="128" w:name="_Toc200451960"/>
      <w:r>
        <w:rPr>
          <w:rFonts w:hint="eastAsia" w:ascii="宋体" w:hAnsi="宋体"/>
          <w:bCs/>
          <w:color w:val="000000" w:themeColor="text1"/>
          <w:sz w:val="24"/>
          <w14:textFill>
            <w14:solidFill>
              <w14:schemeClr w14:val="tx1"/>
            </w14:solidFill>
          </w14:textFill>
        </w:rPr>
        <w:t xml:space="preserve">27.5 </w:t>
      </w:r>
      <w:r>
        <w:rPr>
          <w:rFonts w:ascii="宋体" w:hAnsi="宋体"/>
          <w:bCs/>
          <w:color w:val="000000" w:themeColor="text1"/>
          <w:sz w:val="24"/>
          <w14:textFill>
            <w14:solidFill>
              <w14:schemeClr w14:val="tx1"/>
            </w14:solidFill>
          </w14:textFill>
        </w:rPr>
        <w:t xml:space="preserve">有下列情形之一的，视为投标人串通投标，投标无效：</w:t>
      </w:r>
      <w:bookmarkEnd w:id="128"/>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27.5.1 不同投标人的投标文件由同一单位或者个人编制；</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27.5.2 不同投标人委托同一单位或者个人办理投标事宜；</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27.5.3 不同投标人的投标文件载明的项目管理成员或者联系人员为同一人；</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27.5.4 不同投标人的投标文件异常一致或者投标报价呈规律性差异。</w:t>
      </w:r>
      <w:r/>
    </w:p>
    <w:p>
      <w:pPr>
        <w:pStyle w:val="744"/>
        <w:ind w:firstLine="420"/>
        <w:spacing w:before="0" w:after="0" w:line="46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28、质疑处理</w:t>
      </w:r>
      <w:r/>
    </w:p>
    <w:p>
      <w:pPr>
        <w:ind w:firstLine="480"/>
        <w:jc w:val="left"/>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28.1 提出质疑的投标人应当是参与所质疑项目采购活动的投标人。潜在投标人依法获取其可质疑的采购文件的，可以对采购文件提出质疑。</w:t>
      </w:r>
      <w:r/>
    </w:p>
    <w:p>
      <w:pPr>
        <w:ind w:firstLine="480"/>
        <w:jc w:val="left"/>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28.2 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jc w:val="left"/>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28.2.1 </w:t>
      </w:r>
      <w:r>
        <w:rPr>
          <w:rFonts w:ascii="宋体" w:hAnsi="宋体"/>
          <w:bCs/>
          <w:color w:val="000000" w:themeColor="text1"/>
          <w:sz w:val="24"/>
          <w14:textFill>
            <w14:solidFill>
              <w14:schemeClr w14:val="tx1"/>
            </w14:solidFill>
          </w14:textFill>
        </w:rPr>
        <w:t xml:space="preserve">对可以质疑的采购文件提出质疑的，为收到采购文件之日或者采购文件公告期限届满之日；</w:t>
      </w:r>
      <w:r>
        <w:rPr>
          <w:rFonts w:ascii="宋体" w:hAnsi="宋体"/>
          <w:bCs/>
          <w:color w:val="000000" w:themeColor="text1"/>
          <w:sz w:val="24"/>
          <w14:textFill>
            <w14:solidFill>
              <w14:schemeClr w14:val="tx1"/>
            </w14:solidFill>
          </w14:textFill>
        </w:rPr>
        <w:br/>
      </w:r>
      <w:r>
        <w:rPr>
          <w:rFonts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28.2.2 </w:t>
      </w:r>
      <w:r>
        <w:rPr>
          <w:rFonts w:ascii="宋体" w:hAnsi="宋体"/>
          <w:bCs/>
          <w:color w:val="000000" w:themeColor="text1"/>
          <w:sz w:val="24"/>
          <w14:textFill>
            <w14:solidFill>
              <w14:schemeClr w14:val="tx1"/>
            </w14:solidFill>
          </w14:textFill>
        </w:rPr>
        <w:t xml:space="preserve">对采购过程提出质疑的，为各采购程序环节结束之日；</w:t>
      </w:r>
      <w:r>
        <w:rPr>
          <w:rFonts w:ascii="宋体" w:hAnsi="宋体"/>
          <w:bCs/>
          <w:color w:val="000000" w:themeColor="text1"/>
          <w:sz w:val="24"/>
          <w14:textFill>
            <w14:solidFill>
              <w14:schemeClr w14:val="tx1"/>
            </w14:solidFill>
          </w14:textFill>
        </w:rPr>
        <w:br/>
      </w:r>
      <w:r>
        <w:rPr>
          <w:rFonts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28.2.3 </w:t>
      </w:r>
      <w:r>
        <w:rPr>
          <w:rFonts w:ascii="宋体" w:hAnsi="宋体"/>
          <w:bCs/>
          <w:color w:val="000000" w:themeColor="text1"/>
          <w:sz w:val="24"/>
          <w14:textFill>
            <w14:solidFill>
              <w14:schemeClr w14:val="tx1"/>
            </w14:solidFill>
          </w14:textFill>
        </w:rPr>
        <w:t xml:space="preserve">对中标或者成交结果提出质疑的，为中标或者成交结果公告期限届满之日。</w:t>
      </w:r>
      <w:r/>
    </w:p>
    <w:p>
      <w:pPr>
        <w:ind w:firstLine="480"/>
        <w:spacing w:line="46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28.3 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28.4 采购人及采购代理机构只接收以纸质原件形式送达的质疑。</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28.5 以下情形的质疑不予受理</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28.5.1 内容不符合《政府采购质疑和投诉办法》第十二条规定的质疑。</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28.5.2 超出政府采购法定期限的质疑。</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28.5.3 以传真、电子邮件等方式递交的非原件形式的质疑。</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28.5.4 未参加投标活动的投标人或在投标活动中自身权益未受到损害的投标人所提出的质疑。</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28.5.5投标人组成联合体参加投标，联合体中任何一方或多方未按要求签字、盖章、加盖公章的质疑。</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pStyle w:val="744"/>
        <w:ind w:firstLine="420"/>
        <w:spacing w:before="0" w:after="0" w:line="46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29、中标通知书</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29.2中标通知书将是合同的一个组成部分。对采购人和中标投标人均具有法律效力。中标通知书发出后，采购人改变中标结果的，或者中标投标人放弃中标项目的，应当依法承担法律责任。</w:t>
      </w:r>
      <w:r/>
    </w:p>
    <w:p>
      <w:pPr>
        <w:pStyle w:val="743"/>
        <w:ind w:firstLine="321"/>
        <w:spacing w:before="143" w:after="143"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七、</w:t>
      </w:r>
      <w:r>
        <w:rPr>
          <w:rFonts w:ascii="Times New Roman" w:hAnsi="Times New Roman"/>
          <w:color w:val="000000" w:themeColor="text1"/>
          <w:szCs w:val="32"/>
          <w14:textFill>
            <w14:solidFill>
              <w14:schemeClr w14:val="tx1"/>
            </w14:solidFill>
          </w14:textFill>
        </w:rPr>
        <w:t xml:space="preserve">授予合同</w:t>
      </w:r>
      <w:r/>
    </w:p>
    <w:p>
      <w:pPr>
        <w:pStyle w:val="744"/>
        <w:ind w:firstLine="560"/>
        <w:spacing w:before="0" w:after="0" w:line="46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30、签订合同</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30.l 中标人应当在中标通知书发出之日起三十日内，按照招标文件确定的事项与采购人签订政府采购合同。</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30.2 招标文件、中标人的投标文件及招标过程中有关澄清、承诺文件均应作为合同附件。</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30.3 签订合同后，</w:t>
      </w:r>
      <w:r>
        <w:rPr>
          <w:rFonts w:hint="eastAsia"/>
          <w:i/>
          <w:iCs/>
          <w:color w:val="000000" w:themeColor="text1"/>
          <w:u w:val="single"/>
          <w14:textFill>
            <w14:solidFill>
              <w14:schemeClr w14:val="tx1"/>
            </w14:solidFill>
          </w14:textFill>
        </w:rPr>
        <w:t xml:space="preserve">中标人不得将合同标的进行转包</w:t>
      </w:r>
      <w:r>
        <w:rPr>
          <w:rFonts w:hint="eastAsia"/>
          <w:color w:val="000000" w:themeColor="text1"/>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785"/>
        <w:ind w:firstLine="560"/>
        <w:jc w:val="both"/>
        <w:keepLines/>
        <w:keepNext/>
        <w:spacing w:beforeAutospacing="0" w:afterAutospacing="0" w:line="460" w:lineRule="exact"/>
        <w:rPr>
          <w:rFonts w:ascii="Arial" w:hAnsi="Arial" w:eastAsia="黑体"/>
          <w:color w:val="000000" w:themeColor="text1"/>
          <w:sz w:val="28"/>
          <w:szCs w:val="28"/>
          <w14:textFill>
            <w14:solidFill>
              <w14:schemeClr w14:val="tx1"/>
            </w14:solidFill>
          </w14:textFill>
        </w:rPr>
      </w:pPr>
      <w:r>
        <w:rPr>
          <w:rFonts w:hint="eastAsia" w:ascii="Arial" w:hAnsi="Arial" w:eastAsia="黑体"/>
          <w:color w:val="000000" w:themeColor="text1"/>
          <w:sz w:val="28"/>
          <w:szCs w:val="28"/>
          <w14:textFill>
            <w14:solidFill>
              <w14:schemeClr w14:val="tx1"/>
            </w14:solidFill>
          </w14:textFill>
        </w:rPr>
        <w:t xml:space="preserve">31、服务（包含与服务相关的货物）的追加</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31.1 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44"/>
        <w:ind w:firstLine="560"/>
        <w:spacing w:before="0" w:after="0" w:line="46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32、政府采购政策功能落实</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32.1 政府采购线上合同信用融资政策</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根据《转发江苏省财政厅 中国人民银行南京分行〈关于深入推进政府采购线上合同信用融资工作的通知〉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 进口产品</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 中小企业、监狱企业及残疾人福利性单位</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32.3.1 中小企业定义：</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中小企业</w:t>
      </w:r>
      <w:r>
        <w:rPr>
          <w:rFonts w:hint="eastAsia"/>
          <w:color w:val="000000" w:themeColor="text1"/>
          <w14:textFill>
            <w14:solidFill>
              <w14:schemeClr w14:val="tx1"/>
            </w14:solidFill>
          </w14:textFill>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 投标人提供的货物、工程或者服务符合下列情形的，享受中小企业扶持政策：</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32.3.2.1 在货物采购项目中，货物由中小企业制造，即货物由中小企业生产且使用该中小企业商号或者注册商标；</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32.3.2.2 在工程采购项目中，工程由中小企业承建，即工程施工单位为中小企业；</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32.3.2.3 在服务采购项目中，服务由中小企业承接，即提供服务的人员为中小企业依照《中华人民共和国劳动合同法》订立劳动合同的从业人员。</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32.3.3 在货物采购项目中，投标人提供的货物既有中小企业制造货物，也有大型企业制造货物的，不享受中小企业扶持政策。</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32.3.4 以联合体形式参加政府采购活动，联合体各方均为中小企业的，联合体视同中小企业。其中，联合体各方均为小微企业的，联合体视同小微企业。</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32.3.5 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32.3.6 残疾人福利单位定义：享受政府采购支持政策的残疾人福利性单位应当同时满足以下条件：</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32.3.6.1 安置的残疾人占本单位在职职工人数的比例不低于25%（含25%），并且安置的残疾人人数不少于10 人（含10 人）；</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32.3.6.2 依法与安置的每位残疾人签订了一年以上（含一年）的劳动合同或服务协议；</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32.3.6.3 为安置的每位残疾人按月足额缴纳了基本养老保险、基本医疗保险、失业保险、工伤保险和生育保险等社会保险费；</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32.3.6.4 通过银行等金融机构向安置的每位残疾人，按月支付了不低于单位所在区县适用的经省级人民政府批准的月最低工资标准的工资；</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32.3.6.5 提供本单位制造的货物、承担的工程或者服务（以下简称产品），或者提供其他残疾人福利性单位制造的货物（不包括使用非残疾人福利性单位注册商标的货物）；</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32.3.6.6 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00"/>
        <w:spacing w:line="460" w:lineRule="exact"/>
        <w:tabs>
          <w:tab w:val="left" w:pos="478"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32.3.7 本项目是否专门面向中小企业预留采购份额见第一章《招标公告》。</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32.3.8 采购标的对应的中小企业划分标准所属行业见第四章《采购需求》。</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32.3.9 小微企业价格评审优惠的政策：见第五章《评标方法和评标标准》。</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32.4 政府采购节能产品、环境标志产品</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32.4.1 严格执行政府采购关于支持</w:t>
      </w:r>
      <w:r>
        <w:rPr>
          <w:rFonts w:hint="eastAsia"/>
          <w:color w:val="000000" w:themeColor="text1"/>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32.4.2 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32.5 绿色包装</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32.6 政府采购创新产品</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采购人优先采购各级政府部门公开发布的有效期内的创新产品、创新服务、首台套、首购首用等《目录》的创新产品。</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32.7 绿色数据中心政策 </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本文件中若涉及到数据中心采购，采购人应依据《绿色数据中心政府采购需求标准（试行）》（财办库〔2023〕7号）文件精神</w:t>
      </w:r>
      <w:r>
        <w:rPr>
          <w:rFonts w:hint="eastAsia"/>
          <w:color w:val="000000" w:themeColor="text1"/>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32.8 履约保证金政策</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确需收取履约保证金的，履约保证金的缴纳形式：</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如以履约保函（保险）形式缴纳履约保证金，投标人可通过政府采购电子履约保函（保险）平台（www.jsdzbh.com）在线申请履约保函（保险）。</w:t>
      </w:r>
      <w:r/>
    </w:p>
    <w:p>
      <w:pPr>
        <w:pStyle w:val="1000"/>
        <w:spacing w:line="46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履约保证金金额不得超过金额的5%，采购人对第三方信用服务机构依据标准规范评定为 AA 级及以上的政府采购投标人（需在签订采购合同前提供信用管理部门备案的第三方信用报告，且信用报告通过“信用盐城网”可查实），免收履约保证金或降低履约保证金缴纳比例。</w:t>
      </w:r>
      <w:r/>
    </w:p>
    <w:p>
      <w:pPr>
        <w:pStyle w:val="785"/>
        <w:ind w:firstLine="600"/>
        <w:jc w:val="both"/>
        <w:keepLines/>
        <w:keepNext/>
        <w:spacing w:beforeAutospacing="0" w:afterAutospacing="0" w:line="460" w:lineRule="exact"/>
        <w:rPr>
          <w:rFonts w:ascii="Arial" w:hAnsi="Arial" w:eastAsia="黑体"/>
          <w:color w:val="000000" w:themeColor="text1"/>
          <w:sz w:val="28"/>
          <w:szCs w:val="28"/>
          <w14:textFill>
            <w14:solidFill>
              <w14:schemeClr w14:val="tx1"/>
            </w14:solidFill>
          </w14:textFill>
        </w:rPr>
      </w:pPr>
      <w:r>
        <w:rPr>
          <w:rFonts w:hint="eastAsia" w:ascii="Arial" w:hAnsi="Arial" w:eastAsia="黑体"/>
          <w:color w:val="000000" w:themeColor="text1"/>
          <w:sz w:val="28"/>
          <w:szCs w:val="28"/>
          <w14:textFill>
            <w14:solidFill>
              <w14:schemeClr w14:val="tx1"/>
            </w14:solidFill>
          </w14:textFill>
        </w:rPr>
        <w:t xml:space="preserve">33、预付款制度</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本项目落实预付款制度，预付款比例为50%。在签订合同时，中标、中标人明确书面表示无需预付款或者主动要求降低预付款比例的，采购人可就预付款比例作相应调整。</w:t>
      </w:r>
      <w:r/>
    </w:p>
    <w:p>
      <w:pPr>
        <w:ind w:firstLine="480"/>
        <w:spacing w:after="120" w:line="460" w:lineRule="exact"/>
        <w:tabs>
          <w:tab w:val="left" w:pos="90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left"/>
        <w:widowControl/>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br w:type="page" w:clear="all"/>
      </w:r>
      <w:r/>
    </w:p>
    <w:p>
      <w:pPr>
        <w:pStyle w:val="741"/>
        <w:jc w:val="center"/>
        <w:rPr>
          <w:rFonts w:ascii="黑体" w:eastAsia="黑体"/>
          <w:color w:val="000000" w:themeColor="text1"/>
          <w:sz w:val="44"/>
          <w:szCs w:val="44"/>
          <w14:textFill>
            <w14:solidFill>
              <w14:schemeClr w14:val="tx1"/>
            </w14:solidFill>
          </w14:textFill>
        </w:rPr>
      </w:pPr>
      <w:r>
        <w:rPr>
          <w:rFonts w:hint="eastAsia" w:ascii="黑体" w:eastAsia="黑体"/>
          <w:color w:val="000000" w:themeColor="text1"/>
          <w:sz w:val="44"/>
          <w:szCs w:val="44"/>
          <w14:textFill>
            <w14:solidFill>
              <w14:schemeClr w14:val="tx1"/>
            </w14:solidFill>
          </w14:textFill>
        </w:rPr>
        <w:t xml:space="preserve">第三章 合同文本</w:t>
      </w:r>
      <w:r/>
    </w:p>
    <w:p>
      <w:pPr>
        <w:ind w:firstLine="480"/>
        <w:spacing w:line="42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以下为中标后签订本项目合同的通用条款，中标人不得提出实质性的修改。关于专用条款将由采购人与</w:t>
      </w:r>
      <w:bookmarkStart w:id="129" w:name="OLE_LINK82"/>
      <w:r>
        <w:rPr>
          <w:rFonts w:hint="eastAsia" w:ascii="宋体" w:hAnsi="宋体"/>
          <w:bCs/>
          <w:color w:val="000000" w:themeColor="text1"/>
          <w:sz w:val="24"/>
          <w14:textFill>
            <w14:solidFill>
              <w14:schemeClr w14:val="tx1"/>
            </w14:solidFill>
          </w14:textFill>
        </w:rPr>
        <w:t xml:space="preserve">中标人</w:t>
      </w:r>
      <w:bookmarkEnd w:id="129"/>
      <w:r>
        <w:rPr>
          <w:rFonts w:hint="eastAsia" w:ascii="宋体" w:hAnsi="宋体"/>
          <w:bCs/>
          <w:color w:val="000000" w:themeColor="text1"/>
          <w:sz w:val="24"/>
          <w14:textFill>
            <w14:solidFill>
              <w14:schemeClr w14:val="tx1"/>
            </w14:solidFill>
          </w14:textFill>
        </w:rPr>
        <w:t xml:space="preserve">结合本项目具体情况协商后签订。</w:t>
      </w:r>
      <w:r/>
    </w:p>
    <w:p>
      <w:pPr>
        <w:pStyle w:val="765"/>
        <w:ind w:firstLine="482"/>
        <w:jc w:val="center"/>
        <w:spacing w:line="420" w:lineRule="exact"/>
        <w:rPr>
          <w:rFonts w:hAnsi="宋体"/>
          <w:b/>
          <w:color w:val="000000" w:themeColor="text1"/>
          <w:sz w:val="24"/>
          <w:szCs w:val="24"/>
          <w14:textFill>
            <w14:solidFill>
              <w14:schemeClr w14:val="tx1"/>
            </w14:solidFill>
          </w14:textFill>
        </w:rPr>
      </w:pPr>
      <w:r/>
      <w:bookmarkStart w:id="130" w:name="_Hlt16619369"/>
      <w:r/>
      <w:bookmarkEnd w:id="130"/>
      <w:r>
        <w:rPr>
          <w:rFonts w:hint="eastAsia" w:hAnsi="宋体"/>
          <w:b/>
          <w:color w:val="000000" w:themeColor="text1"/>
          <w:sz w:val="24"/>
          <w:szCs w:val="24"/>
          <w14:textFill>
            <w14:solidFill>
              <w14:schemeClr w14:val="tx1"/>
            </w14:solidFill>
          </w14:textFill>
        </w:rPr>
        <w:t xml:space="preserve">政府采购合同（服务类）</w:t>
      </w:r>
      <w:r/>
    </w:p>
    <w:p>
      <w:pPr>
        <w:pStyle w:val="765"/>
        <w:ind w:firstLine="480"/>
        <w:spacing w:line="420" w:lineRule="exact"/>
        <w:rPr>
          <w:rFonts w:hAnsi="宋体"/>
          <w:color w:val="000000" w:themeColor="text1"/>
          <w:sz w:val="24"/>
          <w:szCs w:val="24"/>
          <w:u w:val="single"/>
          <w14:textFill>
            <w14:solidFill>
              <w14:schemeClr w14:val="tx1"/>
            </w14:solidFill>
          </w14:textFill>
        </w:rPr>
      </w:pPr>
      <w:r>
        <w:rPr>
          <w:rFonts w:hAnsi="宋体"/>
          <w:color w:val="000000" w:themeColor="text1"/>
          <w:sz w:val="24"/>
          <w:szCs w:val="24"/>
          <w14:textFill>
            <w14:solidFill>
              <w14:schemeClr w14:val="tx1"/>
            </w14:solidFill>
          </w14:textFill>
        </w:rPr>
        <w:t xml:space="preserve">项目名称：</w:t>
      </w:r>
      <w:r>
        <w:rPr>
          <w:rFonts w:hint="eastAsia" w:hAnsi="宋体"/>
          <w:color w:val="000000" w:themeColor="text1"/>
          <w:sz w:val="24"/>
          <w:szCs w:val="24"/>
          <w:u w:val="single"/>
          <w14:textFill>
            <w14:solidFill>
              <w14:schemeClr w14:val="tx1"/>
            </w14:solidFill>
          </w14:textFill>
        </w:rPr>
        <w:t xml:space="preserve"> 盐城市“十五五”应急管理规划编制项目 </w:t>
      </w:r>
      <w:r/>
    </w:p>
    <w:p>
      <w:pPr>
        <w:pStyle w:val="765"/>
        <w:ind w:firstLine="480"/>
        <w:spacing w:line="420" w:lineRule="exact"/>
        <w:rPr>
          <w:rFonts w:hAnsi="宋体"/>
          <w:color w:val="000000" w:themeColor="text1"/>
          <w:sz w:val="24"/>
          <w:szCs w:val="24"/>
          <w:u w:val="single"/>
          <w14:textFill>
            <w14:solidFill>
              <w14:schemeClr w14:val="tx1"/>
            </w14:solidFill>
          </w14:textFill>
        </w:rPr>
      </w:pPr>
      <w:r>
        <w:rPr>
          <w:rFonts w:hAnsi="宋体"/>
          <w:color w:val="000000" w:themeColor="text1"/>
          <w:sz w:val="24"/>
          <w:szCs w:val="24"/>
          <w14:textFill>
            <w14:solidFill>
              <w14:schemeClr w14:val="tx1"/>
            </w14:solidFill>
          </w14:textFill>
        </w:rPr>
        <w:t xml:space="preserve">甲方：</w:t>
      </w:r>
      <w:r>
        <w:rPr>
          <w:rFonts w:hint="eastAsia" w:hAnsi="宋体"/>
          <w:color w:val="000000" w:themeColor="text1"/>
          <w:sz w:val="24"/>
          <w:szCs w:val="24"/>
          <w:u w:val="single"/>
          <w14:textFill>
            <w14:solidFill>
              <w14:schemeClr w14:val="tx1"/>
            </w14:solidFill>
          </w14:textFill>
        </w:rPr>
        <w:t xml:space="preserve">盐城市应急管理局</w:t>
      </w:r>
      <w:r/>
    </w:p>
    <w:p>
      <w:pPr>
        <w:pStyle w:val="765"/>
        <w:ind w:firstLine="480"/>
        <w:spacing w:line="420" w:lineRule="exact"/>
        <w:rPr>
          <w:rFonts w:hAnsi="宋体"/>
          <w:color w:val="000000" w:themeColor="text1"/>
          <w:sz w:val="24"/>
          <w:szCs w:val="24"/>
          <w:u w:val="single"/>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乙方：</w:t>
      </w:r>
      <w:r>
        <w:rPr>
          <w:rFonts w:hint="eastAsia" w:hAnsi="宋体"/>
          <w:color w:val="000000" w:themeColor="text1"/>
          <w:sz w:val="24"/>
          <w:szCs w:val="24"/>
          <w:u w:val="single"/>
          <w14:textFill>
            <w14:solidFill>
              <w14:schemeClr w14:val="tx1"/>
            </w14:solidFill>
          </w14:textFill>
        </w:rPr>
        <w:t xml:space="preserve">                              </w:t>
      </w:r>
      <w:r/>
    </w:p>
    <w:p>
      <w:pPr>
        <w:pStyle w:val="765"/>
        <w:ind w:firstLine="480"/>
        <w:spacing w:before="120" w:after="120" w:line="420" w:lineRule="exact"/>
        <w:rPr>
          <w:rFonts w:hAnsi="宋体"/>
          <w:b/>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甲、乙双方根据</w:t>
      </w:r>
      <w:r>
        <w:rPr>
          <w:rFonts w:hAnsi="宋体"/>
          <w:color w:val="000000" w:themeColor="text1"/>
          <w:sz w:val="24"/>
          <w:szCs w:val="24"/>
          <w14:textFill>
            <w14:solidFill>
              <w14:schemeClr w14:val="tx1"/>
            </w14:solidFill>
          </w14:textFill>
        </w:rPr>
        <w:t xml:space="preserve">盐城市政府采购</w:t>
      </w:r>
      <w:r>
        <w:rPr>
          <w:rFonts w:hint="eastAsia" w:hAnsi="宋体"/>
          <w:color w:val="000000" w:themeColor="text1"/>
          <w:sz w:val="24"/>
          <w:szCs w:val="24"/>
          <w14:textFill>
            <w14:solidFill>
              <w14:schemeClr w14:val="tx1"/>
            </w14:solidFill>
          </w14:textFill>
        </w:rPr>
        <w:t xml:space="preserve">（</w:t>
      </w:r>
      <w:r>
        <w:rPr>
          <w:rFonts w:hint="eastAsia" w:hAnsi="宋体"/>
          <w:color w:val="000000" w:themeColor="text1"/>
          <w:sz w:val="24"/>
          <w:szCs w:val="24"/>
          <w:u w:val="single"/>
          <w14:textFill>
            <w14:solidFill>
              <w14:schemeClr w14:val="tx1"/>
            </w14:solidFill>
          </w14:textFill>
        </w:rPr>
        <w:t xml:space="preserve">项目编号：JSZC-320900-YCFB-G2025-0010 </w:t>
      </w:r>
      <w:r>
        <w:rPr>
          <w:rFonts w:hint="eastAsia" w:hAnsi="宋体"/>
          <w:color w:val="000000" w:themeColor="text1"/>
          <w:sz w:val="24"/>
          <w:szCs w:val="24"/>
          <w14:textFill>
            <w14:solidFill>
              <w14:schemeClr w14:val="tx1"/>
            </w14:solidFill>
          </w14:textFill>
        </w:rPr>
        <w:t xml:space="preserve">）</w:t>
      </w:r>
      <w:r>
        <w:rPr>
          <w:rFonts w:hint="eastAsia" w:hAnsi="宋体"/>
          <w:color w:val="000000" w:themeColor="text1"/>
          <w:sz w:val="24"/>
          <w:szCs w:val="24"/>
          <w:u w:val="single"/>
          <w14:textFill>
            <w14:solidFill>
              <w14:schemeClr w14:val="tx1"/>
            </w14:solidFill>
          </w14:textFill>
        </w:rPr>
        <w:t xml:space="preserve"> 盐城市“十五五”应急管理规划编制项目 </w:t>
      </w:r>
      <w:r>
        <w:rPr>
          <w:rFonts w:hint="eastAsia" w:hAnsi="宋体"/>
          <w:color w:val="000000" w:themeColor="text1"/>
          <w:sz w:val="24"/>
          <w:szCs w:val="24"/>
          <w14:textFill>
            <w14:solidFill>
              <w14:schemeClr w14:val="tx1"/>
            </w14:solidFill>
          </w14:textFill>
        </w:rPr>
        <w:t xml:space="preserve">公开招标的结果，签署本合同。</w:t>
      </w:r>
      <w:r/>
    </w:p>
    <w:p>
      <w:pPr>
        <w:pStyle w:val="765"/>
        <w:ind w:firstLine="482"/>
        <w:spacing w:before="120" w:after="120" w:line="420" w:lineRule="exact"/>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一、服务内容</w:t>
      </w:r>
      <w:r/>
    </w:p>
    <w:p>
      <w:pPr>
        <w:pStyle w:val="765"/>
        <w:ind w:firstLine="480"/>
        <w:spacing w:line="42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1.1服务名称和内容：盐城市“十五五”应急管理规划编制项目；具体服务内容包含（不限于）招标文件的项目需求中的全部内容。</w:t>
      </w:r>
      <w:r/>
    </w:p>
    <w:p>
      <w:pPr>
        <w:pStyle w:val="765"/>
        <w:ind w:firstLine="480"/>
        <w:spacing w:line="420" w:lineRule="exact"/>
        <w:rPr>
          <w:rFonts w:hAnsi="宋体"/>
          <w:color w:val="000000" w:themeColor="text1"/>
          <w:sz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bCs/>
          <w:color w:val="000000" w:themeColor="text1"/>
          <w:sz w:val="24"/>
          <w14:textFill>
            <w14:solidFill>
              <w14:schemeClr w14:val="tx1"/>
            </w14:solidFill>
          </w14:textFill>
        </w:rPr>
        <w:t xml:space="preserve">2</w:t>
      </w:r>
      <w:r>
        <w:rPr>
          <w:rFonts w:hint="eastAsia" w:hAnsi="宋体"/>
          <w:bCs/>
          <w:color w:val="000000" w:themeColor="text1"/>
          <w:sz w:val="24"/>
          <w14:textFill>
            <w14:solidFill>
              <w14:schemeClr w14:val="tx1"/>
            </w14:solidFill>
          </w14:textFill>
        </w:rPr>
        <w:t xml:space="preserve">服务期限：（1）</w:t>
      </w:r>
      <w:r>
        <w:rPr>
          <w:rFonts w:hint="eastAsia" w:hAnsi="宋体"/>
          <w:color w:val="000000" w:themeColor="text1"/>
          <w:sz w:val="24"/>
          <w14:textFill>
            <w14:solidFill>
              <w14:schemeClr w14:val="tx1"/>
            </w14:solidFill>
          </w14:textFill>
        </w:rPr>
        <w:t xml:space="preserve">2026年2月底前完成《盐城市“十五五”应急管理规划》</w:t>
      </w:r>
      <w:r>
        <w:rPr>
          <w:rFonts w:hint="eastAsia" w:hAnsi="宋体"/>
          <w:bCs/>
          <w:color w:val="000000" w:themeColor="text1"/>
          <w:sz w:val="24"/>
          <w14:textFill>
            <w14:solidFill>
              <w14:schemeClr w14:val="tx1"/>
            </w14:solidFill>
          </w14:textFill>
        </w:rPr>
        <w:t xml:space="preserve">（草案）编制任务。（2）</w:t>
      </w:r>
      <w:r>
        <w:rPr>
          <w:rFonts w:hint="eastAsia" w:hAnsi="宋体"/>
          <w:color w:val="000000" w:themeColor="text1"/>
          <w:sz w:val="24"/>
          <w14:textFill>
            <w14:solidFill>
              <w14:schemeClr w14:val="tx1"/>
            </w14:solidFill>
          </w14:textFill>
        </w:rPr>
        <w:t xml:space="preserve">2026年6月底前经盐城市人民政府审核，由盐城市人民政府发布实施。</w:t>
      </w:r>
      <w:r/>
    </w:p>
    <w:p>
      <w:pPr>
        <w:pStyle w:val="765"/>
        <w:ind w:firstLine="482"/>
        <w:spacing w:before="120" w:after="120" w:line="420" w:lineRule="exact"/>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二、合同金额</w:t>
      </w:r>
      <w:r/>
    </w:p>
    <w:p>
      <w:pPr>
        <w:pStyle w:val="765"/>
        <w:ind w:firstLine="480"/>
        <w:spacing w:before="120" w:after="120" w:line="42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2.1 本合同金额为：人民币（大写）</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圆整</w:t>
      </w:r>
      <w:r>
        <w:rPr>
          <w:rFonts w:hint="eastAsia" w:ascii="新宋体" w:hAnsi="新宋体" w:eastAsia="新宋体"/>
          <w:color w:val="000000" w:themeColor="text1"/>
          <w:sz w:val="24"/>
          <w14:textFill>
            <w14:solidFill>
              <w14:schemeClr w14:val="tx1"/>
            </w14:solidFill>
          </w14:textFill>
        </w:rPr>
        <w:t xml:space="preserve">（¥</w:t>
      </w:r>
      <w:r>
        <w:rPr>
          <w:rFonts w:hint="eastAsia" w:ascii="新宋体" w:hAnsi="新宋体" w:eastAsia="新宋体"/>
          <w:color w:val="000000" w:themeColor="text1"/>
          <w:sz w:val="24"/>
          <w:u w:val="single"/>
          <w14:textFill>
            <w14:solidFill>
              <w14:schemeClr w14:val="tx1"/>
            </w14:solidFill>
          </w14:textFill>
        </w:rPr>
        <w:t xml:space="preserve">         元</w:t>
      </w:r>
      <w:r>
        <w:rPr>
          <w:rFonts w:hint="eastAsia" w:ascii="新宋体" w:hAnsi="新宋体" w:eastAsia="新宋体"/>
          <w:color w:val="000000" w:themeColor="text1"/>
          <w:sz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w:t>
      </w:r>
      <w:r/>
    </w:p>
    <w:p>
      <w:pPr>
        <w:ind w:firstLine="480"/>
        <w:spacing w:line="420" w:lineRule="exact"/>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合同价款包括为完成本项目，但不仅限于从基础资料及文件的收集、与相关规划的对接、外出考察调研、方案汇报、组织专家论证、相关部门审查、报批、验收及其相关服务的总费用，包括人工费、管理费、利润、税金等所有费用。</w:t>
      </w:r>
      <w:r/>
    </w:p>
    <w:p>
      <w:pPr>
        <w:pStyle w:val="765"/>
        <w:ind w:firstLine="482"/>
        <w:spacing w:before="120" w:after="120" w:line="420" w:lineRule="exact"/>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三、技术资料</w:t>
      </w:r>
      <w:r/>
    </w:p>
    <w:p>
      <w:pPr>
        <w:pStyle w:val="765"/>
        <w:ind w:firstLine="480"/>
        <w:spacing w:before="120" w:after="120" w:line="420" w:lineRule="exact"/>
        <w:tabs>
          <w:tab w:val="left" w:pos="454" w:leader="none"/>
        </w:tabs>
        <w:rPr>
          <w:rFonts w:hAnsi="宋体"/>
          <w:b/>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3.1 </w:t>
      </w:r>
      <w:r>
        <w:rPr>
          <w:rFonts w:hint="eastAsia" w:hAnsi="宋体"/>
          <w:color w:val="000000" w:themeColor="text1"/>
          <w:sz w:val="24"/>
          <w:szCs w:val="24"/>
          <w14:textFill>
            <w14:solidFill>
              <w14:schemeClr w14:val="tx1"/>
            </w14:solidFill>
          </w14:textFill>
        </w:rPr>
        <w:t xml:space="preserve">乙方应按招标文件规定的时间向甲方提供服务的有关技术资料。</w:t>
      </w:r>
      <w:r/>
    </w:p>
    <w:p>
      <w:pPr>
        <w:ind w:firstLine="480"/>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5"/>
        <w:ind w:left="409"/>
        <w:spacing w:before="120" w:after="120" w:line="420" w:lineRule="exact"/>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四、知识产权</w:t>
      </w:r>
      <w:r/>
    </w:p>
    <w:p>
      <w:pPr>
        <w:ind w:firstLine="480"/>
        <w:spacing w:line="4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 乙方应保证甲方在使用、接受本合同服务或其任何一部分时不受第三方提出侵犯其专利权、版权、商标权和工业设计权等知识产权的起诉。一旦出现侵权，由乙方负全部责任。</w:t>
      </w:r>
      <w:r/>
    </w:p>
    <w:p>
      <w:pPr>
        <w:ind w:firstLine="480"/>
        <w:spacing w:line="420" w:lineRule="exact"/>
        <w:rPr>
          <w:rFonts w:ascii="宋体"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 xml:space="preserve">五、</w:t>
      </w:r>
      <w:r>
        <w:rPr>
          <w:rFonts w:hint="eastAsia" w:ascii="宋体" w:hAnsi="宋体"/>
          <w:b/>
          <w:color w:val="000000" w:themeColor="text1"/>
          <w:sz w:val="24"/>
          <w14:textFill>
            <w14:solidFill>
              <w14:schemeClr w14:val="tx1"/>
            </w14:solidFill>
          </w14:textFill>
        </w:rPr>
        <w:t xml:space="preserve">安全与保密</w:t>
      </w:r>
      <w:r/>
    </w:p>
    <w:p>
      <w:pPr>
        <w:pStyle w:val="765"/>
        <w:ind w:firstLine="482"/>
        <w:spacing w:before="120" w:after="120" w:line="42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项目服务过程中涉及的涉密和敏感图文资料、电子数据，编制单位应严格执行保密的相关规定，不得以任何方式向任何第三人披露、泄露或许可第三人使用。</w:t>
      </w:r>
      <w:r/>
    </w:p>
    <w:p>
      <w:pPr>
        <w:pStyle w:val="765"/>
        <w:ind w:firstLine="482"/>
        <w:spacing w:before="120" w:after="120" w:line="420" w:lineRule="exact"/>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六、履约保证金</w:t>
      </w:r>
      <w:r/>
    </w:p>
    <w:p>
      <w:pPr>
        <w:pStyle w:val="765"/>
        <w:ind w:firstLine="480"/>
        <w:spacing w:line="42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6.1 乙方交纳人民币（大写）</w:t>
      </w:r>
      <w:r>
        <w:rPr>
          <w:rFonts w:hint="eastAsia" w:hAnsi="宋体" w:cs="宋体"/>
          <w:color w:val="000000" w:themeColor="text1"/>
          <w:sz w:val="24"/>
          <w:szCs w:val="24"/>
          <w:u w:val="single"/>
          <w14:textFill>
            <w14:solidFill>
              <w14:schemeClr w14:val="tx1"/>
            </w14:solidFill>
          </w14:textFill>
        </w:rPr>
        <w:t xml:space="preserve">         </w:t>
      </w:r>
      <w:r>
        <w:rPr>
          <w:rFonts w:hint="eastAsia" w:hAnsi="宋体" w:cs="宋体"/>
          <w:color w:val="000000" w:themeColor="text1"/>
          <w:sz w:val="24"/>
          <w:szCs w:val="24"/>
          <w14:textFill>
            <w14:solidFill>
              <w14:schemeClr w14:val="tx1"/>
            </w14:solidFill>
          </w14:textFill>
        </w:rPr>
        <w:t xml:space="preserve">圆整（¥</w:t>
      </w:r>
      <w:r>
        <w:rPr>
          <w:rFonts w:hint="eastAsia" w:hAnsi="宋体" w:cs="宋体"/>
          <w:color w:val="000000" w:themeColor="text1"/>
          <w:sz w:val="24"/>
          <w:szCs w:val="24"/>
          <w:u w:val="single"/>
          <w14:textFill>
            <w14:solidFill>
              <w14:schemeClr w14:val="tx1"/>
            </w14:solidFill>
          </w14:textFill>
        </w:rPr>
        <w:t xml:space="preserve">         元</w:t>
      </w:r>
      <w:r>
        <w:rPr>
          <w:rFonts w:hint="eastAsia" w:hAnsi="宋体" w:cs="宋体"/>
          <w:color w:val="000000" w:themeColor="text1"/>
          <w:sz w:val="24"/>
          <w:szCs w:val="24"/>
          <w14:textFill>
            <w14:solidFill>
              <w14:schemeClr w14:val="tx1"/>
            </w14:solidFill>
          </w14:textFill>
        </w:rPr>
        <w:t xml:space="preserve">）作为本合同的履约保证金（合同金额的5%）。引用盐城信用办推行的第三方信用报告，AAA的投标人免交履约保证金，AA的投标人按一半金额缴纳（需提供信用管理部门备案的第三方信用报告）。</w:t>
      </w:r>
      <w:r/>
    </w:p>
    <w:p>
      <w:pPr>
        <w:pStyle w:val="765"/>
        <w:ind w:firstLine="480"/>
        <w:spacing w:line="42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 确需收取履约保证金的，履约保证金的缴纳形式：</w:t>
      </w:r>
      <w:r/>
    </w:p>
    <w:p>
      <w:pPr>
        <w:pStyle w:val="765"/>
        <w:ind w:firstLine="480"/>
        <w:spacing w:line="42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6.2.1 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p>
    <w:p>
      <w:pPr>
        <w:pStyle w:val="765"/>
        <w:ind w:firstLine="480"/>
        <w:spacing w:line="42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6.2.2 如以履约保函（保险）形式缴纳履约保证金，投标人可通过政府采购电子履约保函（保险）平台（www.jsdzbh.com）在线申请履约保函（保险）。</w:t>
      </w:r>
      <w:r/>
    </w:p>
    <w:p>
      <w:pPr>
        <w:pStyle w:val="765"/>
        <w:ind w:firstLine="480"/>
        <w:spacing w:line="420" w:lineRule="exact"/>
        <w:rPr>
          <w:color w:val="000000" w:themeColor="text1"/>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6.3 合同履</w:t>
      </w:r>
      <w:r>
        <w:rPr>
          <w:rFonts w:hint="eastAsia" w:hAnsi="宋体"/>
          <w:color w:val="000000" w:themeColor="text1"/>
          <w:sz w:val="24"/>
          <w:szCs w:val="24"/>
          <w14:textFill>
            <w14:solidFill>
              <w14:schemeClr w14:val="tx1"/>
            </w14:solidFill>
          </w14:textFill>
        </w:rPr>
        <w:t xml:space="preserve">行结束后，甲方应及时退还交纳的履约保证金</w:t>
      </w:r>
      <w:r>
        <w:rPr>
          <w:rFonts w:hint="eastAsia" w:hAnsi="宋体" w:cs="宋体"/>
          <w:color w:val="000000" w:themeColor="text1"/>
          <w14:textFill>
            <w14:solidFill>
              <w14:schemeClr w14:val="tx1"/>
            </w14:solidFill>
          </w14:textFill>
        </w:rPr>
        <w:t xml:space="preserve">。</w:t>
      </w:r>
      <w:r/>
    </w:p>
    <w:p>
      <w:pPr>
        <w:ind w:firstLine="480"/>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6.4 履约保证金的退还：</w:t>
      </w:r>
      <w:r/>
    </w:p>
    <w:p>
      <w:pPr>
        <w:ind w:firstLine="480"/>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6.4.1方式：无息退还至乙方缴纳履约保证金的账户。如为保函，在到期时自行失效。</w:t>
      </w:r>
      <w:r/>
    </w:p>
    <w:p>
      <w:pPr>
        <w:ind w:firstLine="480"/>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6.4.2 时间：验收合格且采购人收到发票后10个工作日内。</w:t>
      </w:r>
      <w:r/>
    </w:p>
    <w:p>
      <w:pPr>
        <w:ind w:firstLine="480"/>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6.4.3条件：按合同要求全部履约完成并经甲方验收合格，且甲方收到乙方出具的发票。</w:t>
      </w:r>
      <w:r/>
    </w:p>
    <w:p>
      <w:pPr>
        <w:ind w:firstLine="480"/>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6.4.4 不予退还情形：</w:t>
      </w:r>
      <w:r/>
    </w:p>
    <w:p>
      <w:pPr>
        <w:ind w:firstLine="480"/>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除不可抗力情况外，中标人出现下列情形之一的，其履约保证金，招标人将视情节决定不予退还或部分不予退还。</w:t>
      </w:r>
      <w:r/>
    </w:p>
    <w:p>
      <w:pPr>
        <w:ind w:firstLine="480"/>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（2）中标人不履行与采购人订立的合同的；</w:t>
      </w:r>
      <w:r/>
    </w:p>
    <w:p>
      <w:pPr>
        <w:ind w:firstLine="480"/>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（3）中标人所供货物或服务不符合招标文件规定要求的；</w:t>
      </w:r>
      <w:r/>
    </w:p>
    <w:p>
      <w:pPr>
        <w:ind w:firstLine="480"/>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（4）中标人采取欺骗、弄虚作假方式投标的或与其他投标人串通投标的；</w:t>
      </w:r>
      <w:r/>
    </w:p>
    <w:p>
      <w:pPr>
        <w:ind w:firstLine="480"/>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（5）中标人将合同内容转包、违法分包的；</w:t>
      </w:r>
      <w:r/>
    </w:p>
    <w:p>
      <w:pPr>
        <w:ind w:firstLine="480"/>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（6）中标人故意捏造事实或伪造证明材料，进行虚假恶意投诉或反映的。</w:t>
      </w:r>
      <w:r/>
    </w:p>
    <w:p>
      <w:pPr>
        <w:ind w:firstLine="480"/>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6.4.5逾期退还的违约责任：采购人逾期无故未退还履约保证金的，按中国人民银行同期贷款基准利率上浮20%后的利率支付超期资金占用费，但因投标人自身原因导致无法及时退还的除外。</w:t>
      </w:r>
      <w:r/>
    </w:p>
    <w:p>
      <w:pPr>
        <w:ind w:firstLine="482"/>
        <w:spacing w:before="143" w:after="143" w:line="420" w:lineRule="exact"/>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七、合同转包或分包</w:t>
      </w:r>
      <w:r/>
    </w:p>
    <w:p>
      <w:pPr>
        <w:ind w:firstLine="480"/>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7.1 乙方不得将合同标的转包给他人履行。</w:t>
      </w:r>
      <w:r/>
    </w:p>
    <w:p>
      <w:pPr>
        <w:ind w:firstLine="480"/>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7.2 乙方不得将合同标的分包给他人履行。</w:t>
      </w:r>
      <w:r/>
    </w:p>
    <w:p>
      <w:pPr>
        <w:pStyle w:val="785"/>
        <w:ind w:firstLine="480"/>
        <w:jc w:val="both"/>
        <w:spacing w:before="145" w:beforeAutospacing="0" w:after="145" w:afterAutospacing="0" w:line="420" w:lineRule="exact"/>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7.3 乙方如有转包或未经甲方同意的分包行为，甲方有权解除合同。</w:t>
      </w:r>
      <w:r/>
    </w:p>
    <w:p>
      <w:pPr>
        <w:pStyle w:val="765"/>
        <w:ind w:firstLine="482"/>
        <w:spacing w:before="120" w:after="120" w:line="420" w:lineRule="exact"/>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八、服务期、提交方式及提交地点</w:t>
      </w:r>
      <w:r/>
    </w:p>
    <w:p>
      <w:pPr>
        <w:pStyle w:val="758"/>
        <w:ind w:firstLine="480"/>
        <w:spacing w:line="42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8.1 服务期：自合同签订之日起，至2026年6月30日止，具体时间服从采购人要求。</w:t>
      </w:r>
      <w:r/>
    </w:p>
    <w:p>
      <w:pPr>
        <w:pStyle w:val="758"/>
        <w:ind w:firstLine="480"/>
        <w:spacing w:line="420" w:lineRule="exact"/>
        <w:rPr>
          <w:rFonts w:hAnsi="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8.2 提交方式及地点：将有关成果送到甲方指定地点，并通过甲方审查。</w:t>
      </w:r>
      <w:r/>
    </w:p>
    <w:p>
      <w:pPr>
        <w:pStyle w:val="765"/>
        <w:ind w:firstLine="482"/>
        <w:spacing w:before="120" w:after="120" w:line="420" w:lineRule="exact"/>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九、合同款项支付</w:t>
      </w:r>
      <w:r/>
    </w:p>
    <w:p>
      <w:pPr>
        <w:pStyle w:val="765"/>
        <w:ind w:firstLine="480"/>
        <w:spacing w:before="120" w:after="120" w:line="42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9.1 付款方式：合同预付款比例为50%。合同签订后，甲方收到乙方发票后10个工作日内将预付款支付到合同约定的乙方账户；乙方完成所有工作，需符合合同约定的验收标准并经甲方验收合格，同时政府文件发文后，甲方支付剩余的50%合同款项，作为项目的尾款。</w:t>
      </w:r>
      <w:r/>
    </w:p>
    <w:p>
      <w:pPr>
        <w:pStyle w:val="765"/>
        <w:ind w:firstLine="480"/>
        <w:spacing w:before="120" w:after="120" w:line="42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注：以上付款均不计任何利息和相关费用，付款一律通过银行结转。</w:t>
      </w:r>
      <w:r/>
    </w:p>
    <w:p>
      <w:pPr>
        <w:ind w:firstLine="480"/>
        <w:spacing w:before="143" w:after="143" w:line="4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9.2 如需向与财政部门签署融资合作协议的银行办理授信申请的, 需在协作银行开立结算户作为回款专用户,作为该笔合同唯一的收款帐户，供货结束货款结算时，财政部门将政府采购款项直接支付到该账户。</w:t>
      </w:r>
      <w:r/>
    </w:p>
    <w:p>
      <w:pPr>
        <w:ind w:firstLine="480"/>
        <w:spacing w:before="143" w:after="143" w:line="4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9.3根据《关于进一步提高政府采购透明度和采购效率相关事项的通知》财办库〔2023〕243号），对于满足合同约定支付条件的，采购人应当自收到发票后10个工作日内将资金支付到合同约定的投标人账户。</w:t>
      </w:r>
      <w:r/>
    </w:p>
    <w:p>
      <w:pPr>
        <w:pStyle w:val="765"/>
        <w:ind w:firstLine="482"/>
        <w:spacing w:before="120" w:after="120" w:line="420" w:lineRule="exact"/>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十、税费</w:t>
      </w:r>
      <w:r/>
    </w:p>
    <w:p>
      <w:pPr>
        <w:ind w:firstLine="480"/>
        <w:spacing w:before="143" w:after="143" w:line="420" w:lineRule="exact"/>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 本合同执行中相关的一切税费均由乙方负担。</w:t>
      </w:r>
      <w:r/>
    </w:p>
    <w:p>
      <w:pPr>
        <w:pStyle w:val="765"/>
        <w:numPr>
          <w:ilvl w:val="0"/>
          <w:numId w:val="3"/>
        </w:numPr>
        <w:ind w:firstLine="482"/>
        <w:spacing w:before="120" w:after="120" w:line="420" w:lineRule="exact"/>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项目验收</w:t>
      </w:r>
      <w:r/>
    </w:p>
    <w:p>
      <w:pPr>
        <w:ind w:firstLine="480"/>
        <w:spacing w:before="143" w:after="143" w:line="420" w:lineRule="exact"/>
        <w:rPr>
          <w:rFonts w:ascii="宋体" w:hAnsi="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11.1 甲方依法组织履约验收工作。</w:t>
      </w:r>
      <w:r>
        <w:rPr>
          <w:rFonts w:hint="eastAsia" w:ascii="宋体" w:hAnsi="宋体"/>
          <w:color w:val="000000" w:themeColor="text1"/>
          <w:sz w:val="24"/>
          <w14:textFill>
            <w14:solidFill>
              <w14:schemeClr w14:val="tx1"/>
            </w14:solidFill>
          </w14:textFill>
        </w:rPr>
        <w:t xml:space="preserve">验收的依据包括招标文件的各项要求、乙方的投标文件以及甲方上级部门要求、国家相关法规政策规定。</w:t>
      </w:r>
      <w:r/>
    </w:p>
    <w:p>
      <w:pPr>
        <w:ind w:firstLine="480"/>
        <w:spacing w:before="143" w:after="143" w:line="4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11.2甲方在组织履约验收前，将根据项目特点制定验收方案，明确履约验收的时间、方式、程序等内容，并可根据项目特点对服务期内的服务实施情况进行统一考核，综合考核情况和服务效果进行验收。乙方应根据验收方案内容做好相应配合工作。</w:t>
      </w:r>
      <w:r/>
    </w:p>
    <w:p>
      <w:pPr>
        <w:ind w:firstLine="480"/>
        <w:spacing w:before="143" w:after="143" w:line="4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11.3如有必要，甲方邀请参加本项目的其他投标人或第三方专业机构及专家参与验收，相关意见将作为出具验收书的参考资料。</w:t>
      </w:r>
      <w:r/>
    </w:p>
    <w:p>
      <w:pPr>
        <w:ind w:firstLine="480"/>
        <w:spacing w:before="143" w:after="143" w:line="4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11.4甲方成立验收小组，按照采购合同的约定对乙方的履约情况进行验收。验收时，甲方按照采购合同的约定对每一项技术、服务、安全标准的履约情况进行确认。验收结束后，验收小组出具验收书，列明各项内容的验收情况及项目总体评价，由验收双方共同签署。验收结果与采购合同约定的资金支付及履约保证金返还条件挂钩。履约验收的各项资料存档备查。</w:t>
      </w:r>
      <w:r/>
    </w:p>
    <w:p>
      <w:pPr>
        <w:ind w:firstLine="480"/>
        <w:spacing w:line="4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11.5 验收合格的项目，甲方根据采购合同的约定及时向乙方支付合同款项、退还履约保证金。验收不合格的项目，甲方有权解除合同，并要求乙方退还已支付的费用。采购合同的履行、违约责任和解决争议的方式等适用《</w:t>
      </w:r>
      <w:r>
        <w:rPr>
          <w:rFonts w:hint="eastAsia" w:hAnsi="宋体"/>
          <w:color w:val="000000" w:themeColor="text1"/>
          <w:sz w:val="24"/>
          <w14:textFill>
            <w14:solidFill>
              <w14:schemeClr w14:val="tx1"/>
            </w14:solidFill>
          </w14:textFill>
        </w:rPr>
        <w:t xml:space="preserve">中华人民共和国民法典</w:t>
      </w:r>
      <w:r>
        <w:rPr>
          <w:rFonts w:hint="eastAsia" w:ascii="宋体" w:hAnsi="宋体" w:cs="宋体"/>
          <w:bCs/>
          <w:color w:val="000000" w:themeColor="text1"/>
          <w:sz w:val="24"/>
          <w14:textFill>
            <w14:solidFill>
              <w14:schemeClr w14:val="tx1"/>
            </w14:solidFill>
          </w14:textFill>
        </w:rPr>
        <w:t xml:space="preserve">》。乙方在履约过程中有政府采购法律法规规定的违法违规情形的，甲方将及时报告本级财政部门。</w:t>
      </w:r>
      <w:r/>
    </w:p>
    <w:p>
      <w:pPr>
        <w:pStyle w:val="765"/>
        <w:numPr>
          <w:ilvl w:val="0"/>
          <w:numId w:val="3"/>
        </w:numPr>
        <w:ind w:firstLine="482"/>
        <w:spacing w:before="120" w:after="120" w:line="420" w:lineRule="exact"/>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双方的权利及义务</w:t>
      </w:r>
      <w:r/>
    </w:p>
    <w:p>
      <w:pPr>
        <w:ind w:firstLine="480"/>
        <w:spacing w:line="4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12.1 甲方根据乙方需要，参与项目的相关讨论和调研活动，给予支持与指导。</w:t>
      </w:r>
      <w:r/>
    </w:p>
    <w:p>
      <w:pPr>
        <w:ind w:firstLine="480"/>
        <w:spacing w:line="4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12.2 甲方对乙方的工作进度和阶段性成果进行监督、检查。</w:t>
      </w:r>
      <w:r/>
    </w:p>
    <w:p>
      <w:pPr>
        <w:ind w:firstLine="480"/>
        <w:spacing w:line="4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12.3 甲方应在合同签订后三日内，提供项目各项背景材料及政策性文件。</w:t>
      </w:r>
      <w:r/>
    </w:p>
    <w:p>
      <w:pPr>
        <w:ind w:firstLine="480"/>
        <w:spacing w:line="4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12.4 乙方按照合同规定及甲方要求，按时按量完成工作，按甲方需要提交书面及电子文件。</w:t>
      </w:r>
      <w:r/>
    </w:p>
    <w:p>
      <w:pPr>
        <w:ind w:firstLine="480"/>
        <w:spacing w:line="4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12.5 乙方须按照本项目所涉要求制定项目实施方案并报甲方同意后实施项目，履行承诺，保证质量。</w:t>
      </w:r>
      <w:r/>
    </w:p>
    <w:p>
      <w:pPr>
        <w:ind w:firstLine="480"/>
        <w:spacing w:line="4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12.6 甲方对乙方在项目实施中发生的违法、违规、违约行为，按法律规定、协议约定进行处理。</w:t>
      </w:r>
      <w:r/>
    </w:p>
    <w:p>
      <w:pPr>
        <w:ind w:firstLine="480"/>
        <w:spacing w:line="4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12.7 甲方须为乙方提供政策咨询及必要支持，在政策允许范围内协助乙方做好项目实施工作。</w:t>
      </w:r>
      <w:r/>
    </w:p>
    <w:p>
      <w:pPr>
        <w:ind w:firstLine="480"/>
        <w:spacing w:line="4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12.8 在项目实施过程中，乙方不得向甲方提供虚假资料或信息。</w:t>
      </w:r>
      <w:r/>
    </w:p>
    <w:p>
      <w:pPr>
        <w:ind w:firstLine="480"/>
        <w:spacing w:line="4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12.9 乙方应主动接受并配合甲方及相关财政、审计等部门对本项目的检查、指导和监督。</w:t>
      </w:r>
      <w:r/>
    </w:p>
    <w:p>
      <w:pPr>
        <w:ind w:firstLine="480"/>
        <w:spacing w:line="4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12.10乙方实施本项目产生的所有相关文字资料、影像资料、电子数据之知识产权均归甲方所有；未经甲方许可，乙方除可声明其为该项目承包方外不得对上述资料进行其他用途的使用。</w:t>
      </w:r>
      <w:r/>
    </w:p>
    <w:p>
      <w:pPr>
        <w:ind w:firstLine="480"/>
        <w:spacing w:line="4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12.11双方应对在合同签订、履行过程中知悉的对方不公开信息予以保密，且该保密义务不因合同解除或履行完毕而终止。</w:t>
      </w:r>
      <w:r/>
    </w:p>
    <w:p>
      <w:pPr>
        <w:pStyle w:val="765"/>
        <w:ind w:firstLine="482"/>
        <w:spacing w:line="420" w:lineRule="exact"/>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十三、违约责任</w:t>
      </w:r>
      <w:r/>
    </w:p>
    <w:p>
      <w:pPr>
        <w:ind w:firstLine="480"/>
        <w:spacing w:line="42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13.1 甲方无故拒收服务成果或拒不验收、拒不办理支付手续的，甲方应按逾期付款合同金额每日万分之五向乙方支付违约金，但不超过合同金额的百分之五。</w:t>
      </w:r>
      <w:r/>
    </w:p>
    <w:p>
      <w:pPr>
        <w:ind w:firstLine="480"/>
        <w:spacing w:line="42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13.2 乙方逾期交付服务成果或成果验收不合格的，乙方应按合同总额每日千分之六向甲方支付违约金，由甲方从待付款中扣除。逾期超过约定日期或超过规定的时间节点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r/>
    </w:p>
    <w:p>
      <w:pPr>
        <w:ind w:firstLine="480"/>
        <w:spacing w:line="42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13.3 乙方所交的成果的技术参数、质量不符合合同规定及招标文件规定标准的，甲方有权拒收。</w:t>
      </w:r>
      <w:r/>
    </w:p>
    <w:p>
      <w:pPr>
        <w:pStyle w:val="765"/>
        <w:ind w:firstLine="482"/>
        <w:spacing w:line="420" w:lineRule="exact"/>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十四、不可抗力事件处理</w:t>
      </w:r>
      <w:r/>
    </w:p>
    <w:p>
      <w:pPr>
        <w:ind w:firstLine="480"/>
        <w:spacing w:line="42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14.1 在合同有效期内，任何一方因不可抗力事件导致不能履行合同，则合同履行期可延长，其延长期与不可抗力影响期相同。</w:t>
      </w:r>
      <w:r/>
    </w:p>
    <w:p>
      <w:pPr>
        <w:ind w:firstLine="480"/>
        <w:spacing w:line="42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14.2 不可抗力事件发生后，应立即通知对方，并寄送有关权威机构出具的证明。</w:t>
      </w:r>
      <w:r/>
    </w:p>
    <w:p>
      <w:pPr>
        <w:ind w:firstLine="480"/>
        <w:spacing w:line="42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14.3 不可抗力事件延续120天以上，双方应通过友好协商，确定是否继续履行合同。</w:t>
      </w:r>
      <w:r/>
    </w:p>
    <w:p>
      <w:pPr>
        <w:pStyle w:val="765"/>
        <w:ind w:firstLine="482"/>
        <w:spacing w:line="420" w:lineRule="exact"/>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十五、诉讼</w:t>
      </w:r>
      <w:r/>
    </w:p>
    <w:p>
      <w:pPr>
        <w:pStyle w:val="765"/>
        <w:ind w:firstLine="480"/>
        <w:spacing w:line="42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15.1 双方在执行合同中所发生的一切争议，应通过协商解决。如协商不成，可向合同签订地法院起诉，合同签订地在此约定为盐城市。</w:t>
      </w:r>
      <w:r/>
    </w:p>
    <w:p>
      <w:pPr>
        <w:pStyle w:val="765"/>
        <w:ind w:firstLine="482"/>
        <w:spacing w:line="420" w:lineRule="exact"/>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十六、合同生效及其他</w:t>
      </w:r>
      <w:r/>
    </w:p>
    <w:p>
      <w:pPr>
        <w:pStyle w:val="765"/>
        <w:ind w:left="454"/>
        <w:spacing w:line="420" w:lineRule="exact"/>
        <w:tabs>
          <w:tab w:val="left" w:pos="454" w:leader="none"/>
        </w:tabs>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16.1 合同经双方法定代表人或授权委托代表人签字并加盖单位公章后生效。</w:t>
      </w:r>
      <w:r/>
    </w:p>
    <w:p>
      <w:pPr>
        <w:pStyle w:val="765"/>
        <w:ind w:firstLine="480"/>
        <w:spacing w:line="42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16.2本合同未尽事宜，遵照《中华人民共和国民法典》《中华人民共和国政府采购法》有关条文执行。</w:t>
      </w:r>
      <w:r/>
    </w:p>
    <w:p>
      <w:pPr>
        <w:pStyle w:val="765"/>
        <w:ind w:firstLine="480"/>
        <w:spacing w:line="42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16.3本合同一式陆份，甲方执叁份，乙方执叁份，自甲乙双方签字、盖章之日起生效。</w:t>
      </w:r>
      <w:r/>
    </w:p>
    <w:p>
      <w:pPr>
        <w:pStyle w:val="765"/>
        <w:ind w:left="482" w:hanging="64"/>
        <w:spacing w:before="120" w:after="120" w:line="42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甲方：                                    乙方：</w:t>
      </w:r>
      <w:r/>
    </w:p>
    <w:p>
      <w:pPr>
        <w:pStyle w:val="765"/>
        <w:ind w:firstLine="480"/>
        <w:spacing w:before="120" w:after="120" w:line="42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r>
      <w:r/>
    </w:p>
    <w:p>
      <w:pPr>
        <w:pStyle w:val="765"/>
        <w:ind w:firstLine="480"/>
        <w:spacing w:before="120" w:after="120" w:line="42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地址：                                    地址：</w:t>
      </w:r>
      <w:r/>
    </w:p>
    <w:p>
      <w:pPr>
        <w:pStyle w:val="765"/>
        <w:ind w:firstLine="480"/>
        <w:spacing w:before="120" w:after="120" w:line="42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r>
      <w:r/>
    </w:p>
    <w:p>
      <w:pPr>
        <w:pStyle w:val="765"/>
        <w:ind w:firstLine="480"/>
        <w:spacing w:before="120" w:after="120" w:line="42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法定代表人或授权代表：                    法定代表人或授权代表：</w:t>
      </w:r>
      <w:r/>
    </w:p>
    <w:p>
      <w:pPr>
        <w:pStyle w:val="765"/>
        <w:ind w:firstLine="480"/>
        <w:spacing w:before="120" w:after="120" w:line="42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r>
      <w:r/>
    </w:p>
    <w:p>
      <w:pPr>
        <w:pStyle w:val="765"/>
        <w:ind w:firstLine="480"/>
        <w:spacing w:before="120" w:after="120" w:line="42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联系电话：                                联系电话：</w:t>
      </w:r>
      <w:r/>
    </w:p>
    <w:p>
      <w:pPr>
        <w:pStyle w:val="765"/>
        <w:ind w:firstLine="480"/>
        <w:spacing w:before="120" w:after="120" w:line="42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 </w:t>
      </w:r>
      <w:r/>
    </w:p>
    <w:p>
      <w:pPr>
        <w:pStyle w:val="765"/>
        <w:ind w:firstLine="480"/>
        <w:spacing w:before="120" w:after="120" w:line="420" w:lineRule="exact"/>
        <w:rPr>
          <w:rFonts w:ascii="黑体" w:hAnsi="Times New Roman" w:eastAsia="黑体"/>
          <w:color w:val="000000" w:themeColor="text1"/>
          <w:szCs w:val="4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   年   月   日                              年   月   日</w:t>
      </w:r>
      <w:r/>
    </w:p>
    <w:p>
      <w:pPr>
        <w:jc w:val="center"/>
        <w:spacing w:line="420" w:lineRule="exact"/>
        <w:rPr>
          <w:rFonts w:ascii="黑体" w:hAnsi="Times New Roman" w:eastAsia="黑体"/>
          <w:color w:val="000000" w:themeColor="text1"/>
          <w:sz w:val="40"/>
          <w:szCs w:val="96"/>
          <w14:textFill>
            <w14:solidFill>
              <w14:schemeClr w14:val="tx1"/>
            </w14:solidFill>
          </w14:textFill>
        </w:rPr>
      </w:pPr>
      <w:r>
        <w:rPr>
          <w:rFonts w:ascii="黑体" w:hAnsi="Times New Roman" w:eastAsia="黑体"/>
          <w:color w:val="000000" w:themeColor="text1"/>
          <w:sz w:val="40"/>
          <w:szCs w:val="96"/>
          <w14:textFill>
            <w14:solidFill>
              <w14:schemeClr w14:val="tx1"/>
            </w14:solidFill>
          </w14:textFill>
        </w:rPr>
      </w:r>
      <w:r/>
    </w:p>
    <w:p>
      <w:pPr>
        <w:jc w:val="center"/>
        <w:spacing w:line="420" w:lineRule="exact"/>
        <w:rPr>
          <w:rFonts w:ascii="黑体" w:hAnsi="Times New Roman" w:eastAsia="黑体"/>
          <w:color w:val="000000" w:themeColor="text1"/>
          <w:sz w:val="40"/>
          <w:szCs w:val="96"/>
          <w14:textFill>
            <w14:solidFill>
              <w14:schemeClr w14:val="tx1"/>
            </w14:solidFill>
          </w14:textFill>
        </w:rPr>
      </w:pPr>
      <w:r>
        <w:rPr>
          <w:rFonts w:ascii="黑体" w:hAnsi="Times New Roman" w:eastAsia="黑体"/>
          <w:color w:val="000000" w:themeColor="text1"/>
          <w:sz w:val="40"/>
          <w:szCs w:val="96"/>
          <w14:textFill>
            <w14:solidFill>
              <w14:schemeClr w14:val="tx1"/>
            </w14:solidFill>
          </w14:textFill>
        </w:rPr>
      </w:r>
      <w:r/>
    </w:p>
    <w:p>
      <w:pPr>
        <w:spacing w:line="420" w:lineRule="exact"/>
        <w:rPr>
          <w:rFonts w:ascii="黑体" w:hAnsi="Times New Roman" w:eastAsia="黑体"/>
          <w:color w:val="000000" w:themeColor="text1"/>
          <w:sz w:val="40"/>
          <w:szCs w:val="96"/>
          <w14:textFill>
            <w14:solidFill>
              <w14:schemeClr w14:val="tx1"/>
            </w14:solidFill>
          </w14:textFill>
        </w:rPr>
      </w:pPr>
      <w:r>
        <w:rPr>
          <w:rFonts w:ascii="黑体" w:hAnsi="Times New Roman" w:eastAsia="黑体"/>
          <w:color w:val="000000" w:themeColor="text1"/>
          <w:sz w:val="40"/>
          <w:szCs w:val="96"/>
          <w14:textFill>
            <w14:solidFill>
              <w14:schemeClr w14:val="tx1"/>
            </w14:solidFill>
          </w14:textFill>
        </w:rPr>
      </w:r>
      <w:r/>
    </w:p>
    <w:p>
      <w:pPr>
        <w:jc w:val="left"/>
        <w:widowControl/>
        <w:rPr>
          <w:rFonts w:ascii="黑体" w:hAnsi="Times New Roman" w:eastAsia="黑体"/>
          <w:color w:val="000000" w:themeColor="text1"/>
          <w:sz w:val="40"/>
          <w:szCs w:val="96"/>
          <w14:textFill>
            <w14:solidFill>
              <w14:schemeClr w14:val="tx1"/>
            </w14:solidFill>
          </w14:textFill>
        </w:rPr>
      </w:pPr>
      <w:r>
        <w:rPr>
          <w:rFonts w:ascii="黑体" w:hAnsi="Times New Roman" w:eastAsia="黑体"/>
          <w:color w:val="000000" w:themeColor="text1"/>
          <w:sz w:val="40"/>
          <w:szCs w:val="96"/>
          <w14:textFill>
            <w14:solidFill>
              <w14:schemeClr w14:val="tx1"/>
            </w14:solidFill>
          </w14:textFill>
        </w:rPr>
        <w:br w:type="page" w:clear="all"/>
      </w:r>
      <w:r/>
    </w:p>
    <w:p>
      <w:pPr>
        <w:pStyle w:val="741"/>
        <w:jc w:val="center"/>
        <w:spacing w:line="460" w:lineRule="exact"/>
        <w:rPr>
          <w:rFonts w:ascii="黑体" w:eastAsia="黑体"/>
          <w:color w:val="000000" w:themeColor="text1"/>
          <w:sz w:val="44"/>
          <w:szCs w:val="44"/>
          <w14:textFill>
            <w14:solidFill>
              <w14:schemeClr w14:val="tx1"/>
            </w14:solidFill>
          </w14:textFill>
        </w:rPr>
      </w:pPr>
      <w:r>
        <w:rPr>
          <w:rFonts w:hint="eastAsia" w:ascii="黑体" w:eastAsia="黑体"/>
          <w:color w:val="000000" w:themeColor="text1"/>
          <w:sz w:val="44"/>
          <w:szCs w:val="44"/>
          <w14:textFill>
            <w14:solidFill>
              <w14:schemeClr w14:val="tx1"/>
            </w14:solidFill>
          </w14:textFill>
        </w:rPr>
        <w:t xml:space="preserve">第四章 采购需求</w:t>
      </w:r>
      <w:r/>
    </w:p>
    <w:p>
      <w:pPr>
        <w:ind w:firstLine="458"/>
        <w:spacing w:line="460" w:lineRule="exact"/>
        <w:rPr>
          <w:rFonts w:ascii="宋体" w:hAnsi="宋体"/>
          <w:b/>
          <w:color w:val="000000" w:themeColor="text1"/>
          <w:spacing w:val="-6"/>
          <w:sz w:val="24"/>
          <w14:textFill>
            <w14:solidFill>
              <w14:schemeClr w14:val="tx1"/>
            </w14:solidFill>
          </w14:textFill>
        </w:rPr>
      </w:pPr>
      <w:r>
        <w:rPr>
          <w:rFonts w:hint="eastAsia" w:ascii="宋体" w:hAnsi="宋体"/>
          <w:b/>
          <w:color w:val="000000" w:themeColor="text1"/>
          <w:spacing w:val="-6"/>
          <w:sz w:val="24"/>
          <w14:textFill>
            <w14:solidFill>
              <w14:schemeClr w14:val="tx1"/>
            </w14:solidFill>
          </w14:textFill>
        </w:rPr>
        <w:t xml:space="preserve">项目属性：服务类项目。</w:t>
      </w:r>
      <w:r/>
    </w:p>
    <w:p>
      <w:pPr>
        <w:ind w:firstLine="482"/>
        <w:jc w:val="left"/>
        <w:spacing w:line="460" w:lineRule="exact"/>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一、项目背景</w:t>
      </w:r>
      <w:r/>
    </w:p>
    <w:p>
      <w:p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应急管理是国家治理体系和治理能力的重要组成</w:t>
      </w:r>
      <w:r>
        <w:rPr>
          <w:rFonts w:hint="eastAsia" w:ascii="宋体" w:hAnsi="宋体" w:cs="宋体"/>
          <w:color w:val="000000" w:themeColor="text1"/>
          <w:sz w:val="24"/>
          <w14:textFill>
            <w14:solidFill>
              <w14:schemeClr w14:val="tx1"/>
            </w14:solidFill>
          </w14:textFill>
        </w:rPr>
        <w:t xml:space="preserve">部分，承担防范化解重大安全风险、及时应对处置各类灾害事故的重要职责，担负保护人民群众生命财产安全和维护社会稳定的重要使命。“十五五”时期是我国由全面建成小康社会向基本实现社会主义现代化迈进的关键时期，根据市委市政府的有关工作部署，我市应急管理“十五五”专项规划已纳入市政府重点专项规划。作为应急管理体制改革后的第二个五年规划，为做好盐城市应急管理“十五五”专项规划编制和实施工作，现委托第三方专业机构提供专业咨询服务，结合盐城市实际情况协助开展“十五五”应急管理相关课题研究、实地调查、工作建议、专家论证等工作。</w:t>
      </w:r>
      <w:r/>
    </w:p>
    <w:p>
      <w:pPr>
        <w:ind w:firstLine="420"/>
        <w:jc w:val="left"/>
        <w:spacing w:line="460" w:lineRule="exact"/>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二、项目内容</w:t>
      </w:r>
      <w:r/>
    </w:p>
    <w:p>
      <w:pPr>
        <w:numPr>
          <w:ilvl w:val="255"/>
          <w:numId w:val="0"/>
        </w:num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1.协助开展盐城市应急管理“十五五”专项规划前期课题研究，制定应急管理“十五五”专项规划编制计划，起草规划基本思路。 </w:t>
      </w:r>
      <w:r/>
    </w:p>
    <w:p>
      <w:pPr>
        <w:numPr>
          <w:ilvl w:val="255"/>
          <w:numId w:val="0"/>
        </w:numPr>
        <w:ind w:firstLine="480"/>
        <w:spacing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协助开展“十五五”应急管理课题调研、文献研究、实地调查等工作，收集整理“十四五”期间盐城市应急管理体系、能力建设和重点工程完成情况。开展盐城市城市安全风险调查更新。开展专题调研，深入调研全市各行业领域和区县镇街的应急管理、安全生产、防灾减灾工作基础现状，找准问题短板不足，了解“十五五”规划需求、重大工程项目和相关对策措施。提出规划编制初步建议，形成规划阶段性成果《盐城市应急管理“十五五”专项规划》研究报告的初稿。协助制定规划指标体系，协助完成规划草案编制、收集征求意见、专家咨询论证、制定实施方案。</w:t>
      </w:r>
      <w:r/>
    </w:p>
    <w:p>
      <w:pPr>
        <w:numPr>
          <w:ilvl w:val="255"/>
          <w:numId w:val="0"/>
        </w:numPr>
        <w:ind w:firstLine="480"/>
        <w:spacing w:line="460" w:lineRule="exact"/>
        <w:rPr>
          <w:rStyle w:val="1013"/>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3.协助采购人完成规划(草案)与上级相关规划进行衔接，完成审批后按规定发布实施。</w:t>
      </w:r>
      <w:r/>
    </w:p>
    <w:p>
      <w:pPr>
        <w:ind w:firstLine="420"/>
        <w:jc w:val="left"/>
        <w:spacing w:line="460" w:lineRule="exact"/>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三、服务要求</w:t>
      </w:r>
      <w:r/>
    </w:p>
    <w:p>
      <w:pPr>
        <w:numPr>
          <w:ilvl w:val="255"/>
          <w:numId w:val="0"/>
        </w:num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服务团队应具备应急管理相关领域（包括：安全生产领域的安全工程技术、安全系统工程、安全与应急技术、化工安全、金属非金属矿山安全、金属冶炼安全等，自然灾害领域的灾害防御、水利工程、水文工程、水资源工程、地震监测、地震预警、地震工程、水旱灾害防御、岩土工程等）的规划编制经验，项目负责人须具备相关领域副高及以上职称或同等职业资格和注册安全工程师（提供证书或职业资格证明文件），团队人员须具备与项目内容相关的专业资质或实践经验，</w:t>
      </w:r>
      <w:r>
        <w:rPr>
          <w:rFonts w:hint="eastAsia" w:ascii="宋体" w:hAnsi="宋体" w:cs="仿宋"/>
          <w:color w:val="000000" w:themeColor="text1"/>
          <w:sz w:val="24"/>
          <w14:textFill>
            <w14:solidFill>
              <w14:schemeClr w14:val="tx1"/>
            </w14:solidFill>
          </w14:textFill>
        </w:rPr>
        <w:t xml:space="preserve">同时具有相应专业（包括化工类、机械类、安全类）中级及以上工程师资格</w:t>
      </w:r>
      <w:r>
        <w:rPr>
          <w:rFonts w:hint="eastAsia" w:ascii="宋体" w:hAnsi="宋体"/>
          <w:color w:val="000000" w:themeColor="text1"/>
          <w:sz w:val="24"/>
          <w14:textFill>
            <w14:solidFill>
              <w14:schemeClr w14:val="tx1"/>
            </w14:solidFill>
          </w14:textFill>
        </w:rPr>
        <w:t xml:space="preserve">。</w:t>
      </w:r>
      <w:r/>
    </w:p>
    <w:p>
      <w:pPr>
        <w:numPr>
          <w:ilvl w:val="255"/>
          <w:numId w:val="0"/>
        </w:num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2.服务团队需保证项目组成员的稳定性，工作人员应当严格按照保密有关规定开展工作，除法律另有规定外，未经采购人同意，不得将采购人提供的资料对外泄露。 </w:t>
      </w:r>
      <w:r/>
    </w:p>
    <w:p>
      <w:pPr>
        <w:numPr>
          <w:ilvl w:val="255"/>
          <w:numId w:val="0"/>
        </w:num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3.遵守采购单位拟定的工作规范和纪律规定，不得将项目转让（转包）给第三方。 </w:t>
      </w:r>
      <w:r/>
    </w:p>
    <w:p>
      <w:pPr>
        <w:numPr>
          <w:ilvl w:val="255"/>
          <w:numId w:val="0"/>
        </w:num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4.在服务期内，按时按质完成各项工作，根据需要提供相应的资料信息及咨询服务，并根据采购单位的要求和建议及时作出调整，在必要时需配合采购单位工作安排，提供必要的现场支持。</w:t>
      </w:r>
      <w:r/>
    </w:p>
    <w:p>
      <w:pPr>
        <w:ind w:firstLine="420"/>
        <w:jc w:val="left"/>
        <w:spacing w:line="460" w:lineRule="exact"/>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四、其他</w:t>
      </w:r>
      <w:r/>
    </w:p>
    <w:p>
      <w:pPr>
        <w:ind w:firstLine="480"/>
        <w:jc w:val="left"/>
        <w:spacing w:line="500" w:lineRule="exact"/>
        <w:widowControl/>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1.项目实施方案</w:t>
      </w:r>
      <w:r/>
    </w:p>
    <w:p>
      <w:pPr>
        <w:ind w:firstLine="480"/>
        <w:jc w:val="left"/>
        <w:spacing w:line="50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须依据自身实际状况与对本项目全方位的理解，精心编制技术方案。该技术方案至少涵盖技术方案、质量保障措施、项目进度安排、安全保密措施这四大核心板块。内容清晰、全面、合理、可靠且结构完整，能切实贴合并超越项目需求的方案将更具优势。</w:t>
      </w:r>
      <w:r/>
    </w:p>
    <w:p>
      <w:pPr>
        <w:ind w:firstLine="480"/>
        <w:jc w:val="left"/>
        <w:spacing w:line="50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（1）技术方案</w:t>
      </w:r>
      <w:r/>
    </w:p>
    <w:p>
      <w:pPr>
        <w:ind w:firstLine="480"/>
        <w:jc w:val="left"/>
        <w:spacing w:line="50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主要内容紧密围绕项目需求至少包含：①资料收集与调研：收集国家、省、市近五年关于安全发展和应急管理的法律法规、政策文件、标准规范以及地质、气象、水文、建筑物等相关统计数据。② 实地调研、座谈：组织开展实地调研、访谈、基层走访、问卷调查，深入走访相关部门、企业、社区，了解安全发展和应急管理、防震减灾的实际</w:t>
      </w:r>
      <w:r>
        <w:rPr>
          <w:rFonts w:hint="eastAsia" w:ascii="宋体" w:hAnsi="宋体"/>
          <w:color w:val="000000" w:themeColor="text1"/>
          <w:sz w:val="24"/>
          <w14:textFill>
            <w14:solidFill>
              <w14:schemeClr w14:val="tx1"/>
            </w14:solidFill>
          </w14:textFill>
        </w:rPr>
        <w:t xml:space="preserve">情况和需求。③风险评估与分析：运用科学风险分析方法，对盐城市面临的安全生产、自然灾害等各类安全风险进行系统评估。④规划文本编制：在资料收集整理分析、实地调研和风险评估工作的基础上，组织专业人员起草规划文本。明确规划的总体框架、主要内容、重点任务、保障措施等内容，确保规划具有前瞻性、科学性和可操作性。⑤专家论证与征求意见：组织召开专家座谈、论证会，邀请安全生产和应急管理、防震减灾领域的专家对规划文本进行论证，提出修改意见和建议，对反馈意见进行梳理分析，对规划文本进行修改完善，确保规划的科学性、合理性和可行性。</w:t>
      </w:r>
      <w:r/>
    </w:p>
    <w:p>
      <w:pPr>
        <w:ind w:firstLine="480"/>
        <w:jc w:val="left"/>
        <w:spacing w:line="50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（2）质量保障措施</w:t>
      </w:r>
      <w:r/>
    </w:p>
    <w:p>
      <w:pPr>
        <w:ind w:firstLine="480"/>
        <w:jc w:val="left"/>
        <w:spacing w:line="50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质量保证措施紧密围绕项目需求至少包含：①团队人员组建及责任划分：投标人应组织专业团队严格按要求实施，应包括项目负责人和核心技术团队，岗位职责划分，岗位无重叠能覆盖规划编制全流程；②编制详细质量工作计划：应明确项目内容、任务、进度、质量、责任、措施，做到管理科学化、工作有序化。③持续沟通改进：应明确加强各类资料调查与收集，科学分析与评估，积极与相关部门沟通、交流，及时反映各有关方面的合理建议与措施，确保各方信息畅通。</w:t>
      </w:r>
      <w:r/>
    </w:p>
    <w:p>
      <w:pPr>
        <w:ind w:firstLine="480"/>
        <w:jc w:val="left"/>
        <w:spacing w:line="50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（3）项目进度安排</w:t>
      </w:r>
      <w:r/>
    </w:p>
    <w:p>
      <w:pPr>
        <w:ind w:firstLine="480"/>
        <w:jc w:val="left"/>
        <w:spacing w:line="50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项目履约期限，投标人需紧密结合自身实际情况，科学合理地规划项目进度。至少包含：①准备阶段：应至少包括：1）组建项目团队：应明确团队组建人员分工，确定项目负责人与联络机制；2）启动会议阶段：应明确会议参与人员，确定会议流程进度安排。②实施阶段：应至少包括：1）资料收集：应明确收集基础资料，勘察踏勘，梳理的时间进度安排；2）方案编制：明确编制范围、目标、路线的时间进度安排</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3）规划初稿：明确向采购人针对反馈规划方案的总体框架，全流程，重点任务的时间进度安排</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4）意见征集：明确向相关部门、单位征示意见，针对反馈调整规划内容形成初稿的时间进度安排。③验收阶段：应包括：1）专家评审：应明确专家评委的组建，确定行业领域专家评委组建的牵头人及评委人员的信息并招开评审会的进度安排；2）规划论证：应明确对规划科学性、可行性进行认证形成评审意见的进度安排</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3）规划修改报批：根据专家意见和部门反馈，细化调整规划内容，补充数据支撑，优化任务分工，形成送审稿进度安排。</w:t>
      </w:r>
      <w:r/>
    </w:p>
    <w:p>
      <w:pPr>
        <w:ind w:firstLine="480"/>
        <w:jc w:val="left"/>
        <w:spacing w:line="50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（4）安全、保密措施                      </w:t>
      </w:r>
      <w:r/>
    </w:p>
    <w:p>
      <w:pPr>
        <w:ind w:firstLine="480"/>
        <w:jc w:val="left"/>
        <w:spacing w:line="500" w:lineRule="exact"/>
        <w:widowControl/>
        <w:rPr>
          <w:rFonts w:ascii="宋体" w:hAnsi="宋体" w:cs="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主要内容紧密围绕项目需求至少包含：①安全方面：至少包括明确安全人员的配置，熟悉安全标准，制定完善的安全管理制度，制定安全保证措施方案并加强对项目实施的安全管理。②保密方面：至少包括1）组织管理：设立保密委员会，明确各级责任人。与项目参与人员签订保密协议，明确保密责任与义务。定期开展保密意识培训与考核；2）技术防护：明确办公系统配备防火墙等网络安全设施，采取数据加密和传输与存储加密措施</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定期开展日志审计，审核关键操作记录；3）应急响应：明确制定泄密应急预案，明确报告流程；定期演练数据恢复与系统容灾。</w:t>
      </w:r>
      <w:r/>
    </w:p>
    <w:p>
      <w:pPr>
        <w:ind w:firstLine="482"/>
        <w:spacing w:line="500" w:lineRule="exact"/>
        <w:rPr>
          <w:rFonts w:ascii="宋体" w:hAnsi="宋体" w:cs="宋体"/>
          <w:b/>
          <w:color w:val="000000" w:themeColor="text1"/>
          <w:sz w:val="24"/>
          <w:szCs w:val="21"/>
          <w14:textFill>
            <w14:solidFill>
              <w14:schemeClr w14:val="tx1"/>
            </w14:solidFill>
          </w14:textFill>
        </w:rPr>
      </w:pPr>
      <w:r>
        <w:rPr>
          <w:rFonts w:ascii="宋体" w:hAnsi="宋体" w:cs="宋体"/>
          <w:b/>
          <w:color w:val="000000" w:themeColor="text1"/>
          <w:sz w:val="24"/>
          <w14:textFill>
            <w14:solidFill>
              <w14:schemeClr w14:val="tx1"/>
            </w14:solidFill>
          </w14:textFill>
        </w:rPr>
        <w:t xml:space="preserve">2</w:t>
      </w:r>
      <w:r>
        <w:rPr>
          <w:rFonts w:hint="eastAsia" w:ascii="宋体" w:hAnsi="宋体"/>
          <w:b/>
          <w:color w:val="000000" w:themeColor="text1"/>
          <w:sz w:val="24"/>
          <w14:textFill>
            <w14:solidFill>
              <w14:schemeClr w14:val="tx1"/>
            </w14:solidFill>
          </w14:textFill>
        </w:rPr>
        <w:t xml:space="preserve">.</w:t>
      </w:r>
      <w:r>
        <w:rPr>
          <w:rFonts w:hint="eastAsia" w:ascii="宋体" w:hAnsi="宋体" w:cs="宋体"/>
          <w:b/>
          <w:color w:val="000000" w:themeColor="text1"/>
          <w:sz w:val="24"/>
          <w:szCs w:val="21"/>
          <w14:textFill>
            <w14:solidFill>
              <w14:schemeClr w14:val="tx1"/>
            </w14:solidFill>
          </w14:textFill>
        </w:rPr>
        <w:t xml:space="preserve">业绩</w:t>
      </w:r>
      <w:r/>
    </w:p>
    <w:p>
      <w:pPr>
        <w:ind w:firstLine="480"/>
        <w:jc w:val="left"/>
        <w:spacing w:line="500" w:lineRule="exact"/>
        <w:widowControl/>
        <w:rPr>
          <w:rFonts w:ascii="宋体" w:hAnsi="宋体" w:cs="宋体"/>
          <w:color w:val="000000" w:themeColor="text1"/>
          <w:sz w:val="24"/>
          <w:lang w:val="zh-CN"/>
          <w14:textFill>
            <w14:solidFill>
              <w14:schemeClr w14:val="tx1"/>
            </w14:solidFill>
          </w14:textFill>
        </w:rPr>
      </w:pPr>
      <w:r>
        <w:rPr>
          <w:rFonts w:ascii="宋体" w:hAnsi="宋体" w:cs="Calibri"/>
          <w:color w:val="000000" w:themeColor="text1"/>
          <w:sz w:val="24"/>
          <w14:textFill>
            <w14:solidFill>
              <w14:schemeClr w14:val="tx1"/>
            </w14:solidFill>
          </w14:textFill>
        </w:rPr>
        <w:t xml:space="preserve">投标人自202</w:t>
      </w:r>
      <w:r>
        <w:rPr>
          <w:rFonts w:hint="eastAsia" w:ascii="宋体" w:hAnsi="宋体" w:cs="Calibri"/>
          <w:color w:val="000000" w:themeColor="text1"/>
          <w:sz w:val="24"/>
          <w14:textFill>
            <w14:solidFill>
              <w14:schemeClr w14:val="tx1"/>
            </w14:solidFill>
          </w14:textFill>
        </w:rPr>
        <w:t xml:space="preserve">0</w:t>
      </w:r>
      <w:r>
        <w:rPr>
          <w:rFonts w:ascii="宋体" w:hAnsi="宋体" w:cs="Calibri"/>
          <w:color w:val="000000" w:themeColor="text1"/>
          <w:sz w:val="24"/>
          <w14:textFill>
            <w14:solidFill>
              <w14:schemeClr w14:val="tx1"/>
            </w14:solidFill>
          </w14:textFill>
        </w:rPr>
        <w:t xml:space="preserve">年</w:t>
      </w:r>
      <w:r>
        <w:rPr>
          <w:rFonts w:hint="eastAsia" w:ascii="宋体" w:hAnsi="宋体" w:cs="Calibri"/>
          <w:color w:val="000000" w:themeColor="text1"/>
          <w:sz w:val="24"/>
          <w14:textFill>
            <w14:solidFill>
              <w14:schemeClr w14:val="tx1"/>
            </w14:solidFill>
          </w14:textFill>
        </w:rPr>
        <w:t xml:space="preserve">1</w:t>
      </w:r>
      <w:r>
        <w:rPr>
          <w:rFonts w:ascii="宋体" w:hAnsi="宋体" w:cs="Calibri"/>
          <w:color w:val="000000" w:themeColor="text1"/>
          <w:sz w:val="24"/>
          <w14:textFill>
            <w14:solidFill>
              <w14:schemeClr w14:val="tx1"/>
            </w14:solidFill>
          </w14:textFill>
        </w:rPr>
        <w:t xml:space="preserve">月1日以来（</w:t>
      </w:r>
      <w:r>
        <w:rPr>
          <w:rFonts w:hint="eastAsia" w:ascii="宋体" w:hAnsi="宋体" w:cs="宋体"/>
          <w:color w:val="000000" w:themeColor="text1"/>
          <w:sz w:val="24"/>
          <w:lang w:val="zh-CN"/>
          <w14:textFill>
            <w14:solidFill>
              <w14:schemeClr w14:val="tx1"/>
            </w14:solidFill>
          </w14:textFill>
        </w:rPr>
        <w:t xml:space="preserve">以合同签订时间为准</w:t>
      </w:r>
      <w:r>
        <w:rPr>
          <w:rFonts w:ascii="宋体" w:hAnsi="宋体" w:cs="Calibri"/>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至今承担过类似</w:t>
      </w:r>
      <w:r>
        <w:rPr>
          <w:rFonts w:hint="eastAsia" w:ascii="宋体" w:hAnsi="宋体" w:cs="Calibri"/>
          <w:color w:val="000000" w:themeColor="text1"/>
          <w:sz w:val="24"/>
          <w14:textFill>
            <w14:solidFill>
              <w14:schemeClr w14:val="tx1"/>
            </w14:solidFill>
          </w14:textFill>
        </w:rPr>
        <w:t xml:space="preserve">项目</w:t>
      </w:r>
      <w:r>
        <w:rPr>
          <w:rFonts w:ascii="宋体" w:hAnsi="宋体" w:cs="Calibri"/>
          <w:color w:val="000000" w:themeColor="text1"/>
          <w:sz w:val="24"/>
          <w14:textFill>
            <w14:solidFill>
              <w14:schemeClr w14:val="tx1"/>
            </w14:solidFill>
          </w14:textFill>
        </w:rPr>
        <w:t xml:space="preserve">业绩的优先。</w:t>
      </w:r>
      <w:r/>
    </w:p>
    <w:p>
      <w:pPr>
        <w:ind w:firstLine="482"/>
        <w:spacing w:line="500" w:lineRule="exact"/>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t xml:space="preserve">3.</w:t>
      </w:r>
      <w:r>
        <w:rPr>
          <w:rFonts w:hint="eastAsia" w:ascii="宋体" w:hAnsi="宋体" w:cs="宋体"/>
          <w:b/>
          <w:bCs/>
          <w:color w:val="000000" w:themeColor="text1"/>
          <w:sz w:val="24"/>
          <w14:textFill>
            <w14:solidFill>
              <w14:schemeClr w14:val="tx1"/>
            </w14:solidFill>
          </w14:textFill>
        </w:rPr>
        <w:t xml:space="preserve">拟派本项目人员情况</w:t>
      </w:r>
      <w:r/>
    </w:p>
    <w:p>
      <w:pPr>
        <w:ind w:firstLine="480"/>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(1)拟投入项目负责人具有安全或化工等相关专业高级工程师职称和注册安全工程师的优先。</w:t>
      </w:r>
      <w:r/>
    </w:p>
    <w:p>
      <w:pPr>
        <w:ind w:firstLine="480"/>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(2)拟投入本项目的团队成员（项目负责人除外），同时具有相应专业（包括化工类、机械类、安全类）中级及以上工程师职称的优先。</w:t>
      </w:r>
      <w:r/>
    </w:p>
    <w:p>
      <w:pPr>
        <w:ind w:firstLine="482"/>
        <w:spacing w:line="500" w:lineRule="exact"/>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t xml:space="preserve">4</w:t>
      </w:r>
      <w:r>
        <w:rPr>
          <w:rFonts w:hint="eastAsia" w:ascii="宋体" w:hAnsi="宋体" w:cs="宋体"/>
          <w:b/>
          <w:color w:val="000000" w:themeColor="text1"/>
          <w:sz w:val="24"/>
          <w14:textFill>
            <w14:solidFill>
              <w14:schemeClr w14:val="tx1"/>
            </w14:solidFill>
          </w14:textFill>
        </w:rPr>
        <w:t xml:space="preserve">.综合实力</w:t>
      </w:r>
      <w:r/>
    </w:p>
    <w:p>
      <w:pPr>
        <w:ind w:firstLine="480"/>
        <w:jc w:val="left"/>
        <w:spacing w:line="500" w:lineRule="exact"/>
        <w:widowControl/>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（1）相关科研课题：投标人承担过相关安全生产科研课题的，具备创新思路，技术或理念领先的优秀。</w:t>
      </w:r>
      <w:r/>
    </w:p>
    <w:p>
      <w:pPr>
        <w:ind w:firstLine="480"/>
        <w:jc w:val="left"/>
        <w:spacing w:line="500" w:lineRule="exact"/>
        <w:widowControl/>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（2）相关标准制定：投标人制定过安全生产相关标准的优先。</w:t>
      </w:r>
      <w:r/>
    </w:p>
    <w:p>
      <w:pPr>
        <w:numPr>
          <w:ilvl w:val="255"/>
          <w:numId w:val="0"/>
        </w:numPr>
        <w:ind w:firstLine="480"/>
        <w:spacing w:line="460" w:lineRule="exact"/>
        <w:rPr>
          <w:color w:val="000000" w:themeColor="text1"/>
          <w14:textFill>
            <w14:solidFill>
              <w14:schemeClr w14:val="tx1"/>
            </w14:solidFill>
          </w14:textFill>
        </w:rPr>
      </w:pPr>
      <w:r>
        <w:rPr>
          <w:rFonts w:ascii="宋体" w:hAnsi="宋体" w:cs="宋体"/>
          <w:color w:val="000000" w:themeColor="text1"/>
          <w:sz w:val="24"/>
          <w14:textFill>
            <w14:solidFill>
              <w14:schemeClr w14:val="tx1"/>
            </w14:solidFill>
          </w14:textFill>
        </w:rPr>
        <w:t xml:space="preserve">采购标的对应的中小企业划分标准所属行业一览表</w:t>
      </w:r>
      <w:r/>
    </w:p>
    <w:tbl>
      <w:tblPr>
        <w:tblStyle w:val="7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6"/>
        <w:gridCol w:w="4989"/>
        <w:gridCol w:w="36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val="false"/>
          </w:tcPr>
          <w:p>
            <w:pPr>
              <w:jc w:val="center"/>
              <w:spacing w:before="100" w:after="10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89" w:type="dxa"/>
            <w:vAlign w:val="center"/>
            <w:textDirection w:val="lrTb"/>
            <w:noWrap w:val="false"/>
          </w:tcPr>
          <w:p>
            <w:pPr>
              <w:jc w:val="center"/>
              <w:spacing w:before="100" w:after="10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jc w:val="center"/>
              <w:spacing w:before="100" w:after="10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val="false"/>
          </w:tcPr>
          <w:p>
            <w:pPr>
              <w:jc w:val="center"/>
              <w:spacing w:before="100" w:after="10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9" w:type="dxa"/>
            <w:vAlign w:val="center"/>
            <w:textDirection w:val="lrTb"/>
            <w:noWrap w:val="false"/>
          </w:tcPr>
          <w:p>
            <w:pPr>
              <w:jc w:val="center"/>
              <w:spacing w:before="100" w:after="10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盐城市“十五五”应急管理规划编制项目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93" w:type="dxa"/>
            <w:vAlign w:val="center"/>
            <w:textDirection w:val="lrTb"/>
            <w:noWrap w:val="false"/>
          </w:tcPr>
          <w:p>
            <w:pPr>
              <w:jc w:val="center"/>
              <w:spacing w:before="100" w:after="10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 xml:space="preserve">其他未列明行业 </w:t>
            </w:r>
            <w:r/>
          </w:p>
        </w:tc>
      </w:tr>
    </w:tbl>
    <w:p>
      <w:pPr>
        <w:jc w:val="left"/>
        <w:widowControl/>
        <w:rPr>
          <w:rFonts w:ascii="黑体" w:hAnsi="Times New Roman" w:eastAsia="黑体"/>
          <w:b/>
          <w:color w:val="000000" w:themeColor="text1"/>
          <w:sz w:val="44"/>
          <w:szCs w:val="44"/>
          <w14:textFill>
            <w14:solidFill>
              <w14:schemeClr w14:val="tx1"/>
            </w14:solidFill>
          </w14:textFill>
        </w:rPr>
      </w:pPr>
      <w:r>
        <w:rPr>
          <w:rFonts w:ascii="黑体" w:hAnsi="Times New Roman" w:eastAsia="黑体"/>
          <w:b/>
          <w:color w:val="000000" w:themeColor="text1"/>
          <w:sz w:val="44"/>
          <w:szCs w:val="44"/>
          <w14:textFill>
            <w14:solidFill>
              <w14:schemeClr w14:val="tx1"/>
            </w14:solidFill>
          </w14:textFill>
        </w:rPr>
        <w:br w:type="page" w:clear="all"/>
      </w:r>
      <w:r/>
    </w:p>
    <w:p>
      <w:pPr>
        <w:pStyle w:val="741"/>
        <w:jc w:val="center"/>
        <w:spacing w:line="460" w:lineRule="exact"/>
        <w:rPr>
          <w:rFonts w:ascii="黑体" w:eastAsia="黑体"/>
          <w:color w:val="000000" w:themeColor="text1"/>
          <w:sz w:val="44"/>
          <w:szCs w:val="44"/>
          <w14:textFill>
            <w14:solidFill>
              <w14:schemeClr w14:val="tx1"/>
            </w14:solidFill>
          </w14:textFill>
        </w:rPr>
      </w:pPr>
      <w:r>
        <w:rPr>
          <w:rFonts w:hint="eastAsia" w:ascii="黑体" w:eastAsia="黑体"/>
          <w:color w:val="000000" w:themeColor="text1"/>
          <w:sz w:val="44"/>
          <w:szCs w:val="44"/>
          <w14:textFill>
            <w14:solidFill>
              <w14:schemeClr w14:val="tx1"/>
            </w14:solidFill>
          </w14:textFill>
        </w:rPr>
        <w:t xml:space="preserve">第五章 评标办法及评标标准</w:t>
      </w:r>
      <w:r/>
    </w:p>
    <w:p>
      <w:pPr>
        <w:pStyle w:val="744"/>
        <w:ind w:firstLine="482"/>
        <w:spacing w:before="0" w:after="0" w:line="46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一、评标方法与定标原则</w:t>
      </w:r>
      <w:r/>
    </w:p>
    <w:p>
      <w:pPr>
        <w:ind w:right="-4" w:firstLine="480"/>
        <w:spacing w:line="4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s="Arial"/>
          <w:color w:val="000000" w:themeColor="text1"/>
          <w:sz w:val="24"/>
          <w14:textFill>
            <w14:solidFill>
              <w14:schemeClr w14:val="tx1"/>
            </w14:solidFill>
          </w14:textFill>
        </w:rPr>
      </w:pPr>
      <w:r>
        <w:rPr>
          <w:rFonts w:hint="eastAsia" w:ascii="宋体" w:hAnsi="宋体" w:cs="Courier New"/>
          <w:bCs/>
          <w:color w:val="000000" w:themeColor="text1"/>
          <w:sz w:val="24"/>
          <w14:textFill>
            <w14:solidFill>
              <w14:schemeClr w14:val="tx1"/>
            </w14:solidFill>
          </w14:textFill>
        </w:rPr>
        <w:t xml:space="preserve">本项目采用</w:t>
      </w:r>
      <w:r>
        <w:rPr>
          <w:rFonts w:hint="eastAsia" w:ascii="宋体" w:hAnsi="宋体" w:cs="Courier New"/>
          <w:bCs/>
          <w:color w:val="000000" w:themeColor="text1"/>
          <w:sz w:val="24"/>
          <w:u w:val="single"/>
          <w14:textFill>
            <w14:solidFill>
              <w14:schemeClr w14:val="tx1"/>
            </w14:solidFill>
          </w14:textFill>
        </w:rPr>
        <w:t xml:space="preserve">综合评分</w:t>
      </w:r>
      <w:r>
        <w:rPr>
          <w:rFonts w:hint="eastAsia" w:ascii="宋体" w:hAnsi="宋体" w:cs="Courier New"/>
          <w:bCs/>
          <w:color w:val="000000" w:themeColor="text1"/>
          <w:sz w:val="24"/>
          <w14:textFill>
            <w14:solidFill>
              <w14:schemeClr w14:val="tx1"/>
            </w14:solidFill>
          </w14:textFill>
        </w:rPr>
        <w:t xml:space="preserve">法。</w:t>
      </w:r>
      <w:r>
        <w:rPr>
          <w:rFonts w:hint="eastAsia" w:ascii="宋体" w:hAnsi="宋体" w:cs="Arial"/>
          <w:color w:val="000000" w:themeColor="text1"/>
          <w:sz w:val="24"/>
          <w14:textFill>
            <w14:solidFill>
              <w14:schemeClr w14:val="tx1"/>
            </w14:solidFill>
          </w14:textFill>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789"/>
        <w:ind w:firstLine="480"/>
        <w:spacing w:line="46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pStyle w:val="789"/>
        <w:ind w:firstLine="480"/>
        <w:spacing w:line="46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政府采购政策功能落实</w:t>
      </w:r>
      <w:r/>
    </w:p>
    <w:p>
      <w:pPr>
        <w:pStyle w:val="789"/>
        <w:ind w:firstLine="480"/>
        <w:spacing w:line="46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1、小微型企业</w:t>
      </w:r>
      <w:r/>
    </w:p>
    <w:p>
      <w:pPr>
        <w:pStyle w:val="789"/>
        <w:ind w:firstLine="480"/>
        <w:spacing w:line="46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（1）本项目对小型和微型企业提供的服务给予20%的扣除价格，用扣除后的价格参与评审。</w:t>
      </w:r>
      <w:r/>
    </w:p>
    <w:p>
      <w:pPr>
        <w:pStyle w:val="789"/>
        <w:ind w:firstLine="480"/>
        <w:spacing w:line="46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（2）投标人需按照采购文件的要求提供相应的《中小企业声明函》。</w:t>
      </w:r>
      <w:r/>
    </w:p>
    <w:p>
      <w:pPr>
        <w:pStyle w:val="789"/>
        <w:ind w:firstLine="480"/>
        <w:spacing w:line="46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（3）企业标准请参照《关于印发中小企业划型标准规定的通知》（工信部联企业〔2011〕300号）文件规定自行填写。</w:t>
      </w:r>
      <w:r/>
    </w:p>
    <w:p>
      <w:pPr>
        <w:pStyle w:val="789"/>
        <w:ind w:firstLine="480"/>
        <w:spacing w:line="46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2、残疾人福利单位</w:t>
      </w:r>
      <w:r/>
    </w:p>
    <w:p>
      <w:pPr>
        <w:pStyle w:val="789"/>
        <w:ind w:firstLine="480"/>
        <w:spacing w:line="46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（1）本项目对残疾人福利性单位视同小型、微型企业</w:t>
      </w:r>
      <w:r>
        <w:rPr>
          <w:rFonts w:ascii="Calibri" w:hAnsi="Calibri" w:eastAsia="宋体"/>
          <w:color w:val="000000" w:themeColor="text1"/>
          <w:sz w:val="24"/>
          <w:szCs w:val="24"/>
          <w14:textFill>
            <w14:solidFill>
              <w14:schemeClr w14:val="tx1"/>
            </w14:solidFill>
          </w14:textFill>
        </w:rPr>
        <w:t xml:space="preserve">，给予</w:t>
      </w:r>
      <w:r>
        <w:rPr>
          <w:rFonts w:hint="eastAsia" w:ascii="Calibri" w:hAnsi="Calibri" w:eastAsia="宋体"/>
          <w:color w:val="000000" w:themeColor="text1"/>
          <w:sz w:val="24"/>
          <w:szCs w:val="24"/>
          <w14:textFill>
            <w14:solidFill>
              <w14:schemeClr w14:val="tx1"/>
            </w14:solidFill>
          </w14:textFill>
        </w:rPr>
        <w:t xml:space="preserve">2</w:t>
      </w:r>
      <w:r>
        <w:rPr>
          <w:rFonts w:ascii="Calibri" w:hAnsi="Calibri" w:eastAsia="宋体"/>
          <w:color w:val="000000" w:themeColor="text1"/>
          <w:sz w:val="24"/>
          <w:szCs w:val="24"/>
          <w14:textFill>
            <w14:solidFill>
              <w14:schemeClr w14:val="tx1"/>
            </w14:solidFill>
          </w14:textFill>
        </w:rPr>
        <w:t xml:space="preserve">0%的价格扣除，用扣除后的价格参与评审</w:t>
      </w:r>
      <w:r>
        <w:rPr>
          <w:rFonts w:hint="eastAsia" w:ascii="宋体" w:hAnsi="宋体" w:eastAsia="宋体" w:cs="宋体"/>
          <w:color w:val="000000" w:themeColor="text1"/>
          <w:sz w:val="24"/>
          <w:szCs w:val="24"/>
          <w14:textFill>
            <w14:solidFill>
              <w14:schemeClr w14:val="tx1"/>
            </w14:solidFill>
          </w14:textFill>
        </w:rPr>
        <w:t xml:space="preserve">。</w:t>
      </w:r>
      <w:r/>
    </w:p>
    <w:p>
      <w:pPr>
        <w:pStyle w:val="789"/>
        <w:ind w:firstLine="480"/>
        <w:spacing w:line="46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（2）残疾人福利单位需按照采购文件的要求提供《残疾人福利性单位声明函》。</w:t>
      </w:r>
      <w:r/>
    </w:p>
    <w:p>
      <w:pPr>
        <w:pStyle w:val="789"/>
        <w:ind w:firstLine="480"/>
        <w:spacing w:line="46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（3）残疾人福利单位标准请参照《关于促进残疾人就业政府采购政策的通知》（财库〔2017〕141号）。</w:t>
      </w:r>
      <w:r/>
    </w:p>
    <w:p>
      <w:pPr>
        <w:pStyle w:val="789"/>
        <w:ind w:firstLine="480"/>
        <w:spacing w:line="460" w:lineRule="exact"/>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3、监狱和戒毒企业</w:t>
      </w:r>
      <w:r/>
    </w:p>
    <w:p>
      <w:pPr>
        <w:pStyle w:val="789"/>
        <w:ind w:firstLine="480"/>
        <w:spacing w:line="46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（1）本项目对监狱和戒毒企业（简称监狱企业）视同小型、微型企业</w:t>
      </w:r>
      <w:r>
        <w:rPr>
          <w:rFonts w:ascii="Calibri" w:hAnsi="Calibri" w:eastAsia="宋体"/>
          <w:color w:val="000000" w:themeColor="text1"/>
          <w:sz w:val="24"/>
          <w:szCs w:val="24"/>
          <w14:textFill>
            <w14:solidFill>
              <w14:schemeClr w14:val="tx1"/>
            </w14:solidFill>
          </w14:textFill>
        </w:rPr>
        <w:t xml:space="preserve">，给予</w:t>
      </w:r>
      <w:r>
        <w:rPr>
          <w:rFonts w:hint="eastAsia" w:ascii="Calibri" w:hAnsi="Calibri" w:eastAsia="宋体"/>
          <w:color w:val="000000" w:themeColor="text1"/>
          <w:sz w:val="24"/>
          <w:szCs w:val="24"/>
          <w14:textFill>
            <w14:solidFill>
              <w14:schemeClr w14:val="tx1"/>
            </w14:solidFill>
          </w14:textFill>
        </w:rPr>
        <w:t xml:space="preserve">20</w:t>
      </w:r>
      <w:r>
        <w:rPr>
          <w:rFonts w:ascii="Calibri" w:hAnsi="Calibri" w:eastAsia="宋体"/>
          <w:color w:val="000000" w:themeColor="text1"/>
          <w:sz w:val="24"/>
          <w:szCs w:val="24"/>
          <w14:textFill>
            <w14:solidFill>
              <w14:schemeClr w14:val="tx1"/>
            </w14:solidFill>
          </w14:textFill>
        </w:rPr>
        <w:t xml:space="preserve">%的价格扣除，用扣除后的价格参与评审</w:t>
      </w:r>
      <w:r>
        <w:rPr>
          <w:rFonts w:hint="eastAsia" w:ascii="宋体" w:hAnsi="宋体" w:eastAsia="宋体" w:cs="宋体"/>
          <w:color w:val="000000" w:themeColor="text1"/>
          <w:sz w:val="24"/>
          <w:szCs w:val="24"/>
          <w14:textFill>
            <w14:solidFill>
              <w14:schemeClr w14:val="tx1"/>
            </w14:solidFill>
          </w14:textFill>
        </w:rPr>
        <w:t xml:space="preserve">。</w:t>
      </w:r>
      <w:r/>
    </w:p>
    <w:p>
      <w:pPr>
        <w:pStyle w:val="789"/>
        <w:ind w:firstLine="480"/>
        <w:spacing w:line="46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（2）监狱企业参加政府采购活动时，需提供由省级以上监狱管理局、戒毒管理局（含新疆生产建设兵团）出具的属于监狱企业的证明文件。投标人如不提供上述证明文件，价格将不做相应扣除。</w:t>
      </w:r>
      <w:r/>
    </w:p>
    <w:p>
      <w:pPr>
        <w:pStyle w:val="789"/>
        <w:ind w:firstLine="480"/>
        <w:spacing w:line="46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（3）监狱企业标准请参照《关于政府采购支持监狱企业发展有关问题的通知》（财库〔2014〕68号）。</w:t>
      </w:r>
      <w:r/>
    </w:p>
    <w:p>
      <w:pPr>
        <w:pStyle w:val="789"/>
        <w:ind w:firstLine="480"/>
        <w:spacing w:line="46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4、残疾人福利单位、监狱企业属于小型、微型企业的，不重复享受政策。</w:t>
      </w:r>
      <w:r/>
    </w:p>
    <w:p>
      <w:pPr>
        <w:pStyle w:val="789"/>
        <w:ind w:firstLine="480"/>
        <w:spacing w:line="46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5、严格执行政府采购关于支持</w:t>
      </w:r>
      <w:r>
        <w:rPr>
          <w:rFonts w:hint="eastAsia" w:ascii="宋体" w:hAnsi="宋体" w:eastAsia="宋体" w:cs="宋体"/>
          <w:color w:val="000000" w:themeColor="text1"/>
          <w:sz w:val="24"/>
          <w:szCs w:val="24"/>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360"/>
        <w:jc w:val="left"/>
        <w:spacing w:before="120" w:after="120"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themeColor="text1"/>
          <w:sz w:val="24"/>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cs="宋体"/>
          <w:i/>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其他条件相同情况下，应当优先采购节能产品、环境标志产品。</w:t>
      </w:r>
      <w:r/>
    </w:p>
    <w:p>
      <w:pPr>
        <w:ind w:firstLine="360"/>
        <w:jc w:val="left"/>
        <w:spacing w:before="120" w:after="120"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7、异常低价投标（响应）审查</w:t>
      </w:r>
      <w:r/>
    </w:p>
    <w:p>
      <w:pPr>
        <w:ind w:firstLine="360"/>
        <w:jc w:val="left"/>
        <w:spacing w:before="120" w:after="120"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（一）评审过程中出现下列情形之一的，评审委员会应当启动异常低价投标（响应）审查程序：</w:t>
      </w:r>
      <w:r/>
    </w:p>
    <w:p>
      <w:pPr>
        <w:ind w:firstLine="360"/>
        <w:jc w:val="left"/>
        <w:spacing w:before="120" w:after="120" w:line="46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1．投标（响应）报价低于采购项目预算50% 的，即投标（响应）报价&lt;采购项目预算×50%；</w:t>
      </w:r>
      <w:r/>
    </w:p>
    <w:p>
      <w:pPr>
        <w:ind w:firstLine="360"/>
        <w:jc w:val="left"/>
        <w:spacing w:before="120" w:after="120" w:line="46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2．投标（响应）报价低于采购项目最高限价45%的，即投标（响应）报价&lt;采购项目最高限价×45%；</w:t>
      </w:r>
      <w:r/>
    </w:p>
    <w:p>
      <w:pPr>
        <w:ind w:firstLine="360"/>
        <w:jc w:val="left"/>
        <w:spacing w:before="120" w:after="120" w:line="46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3．评审委员会认定的投标人报价过低、有可能影响产品质量或者不能诚信履约的其他情形。</w:t>
      </w:r>
      <w:r/>
    </w:p>
    <w:p>
      <w:pPr>
        <w:ind w:firstLine="360"/>
        <w:jc w:val="left"/>
        <w:spacing w:before="120" w:after="120" w:line="4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启动异常低价投标（响应）审查后，评审委员会应当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p>
      <w:pPr>
        <w:pStyle w:val="744"/>
        <w:ind w:firstLine="482"/>
        <w:spacing w:before="0" w:after="0" w:line="46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二、对投标文件的初审</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投标文件初审分为资格审查和符合性审查。</w:t>
      </w:r>
      <w:r/>
    </w:p>
    <w:p>
      <w:pPr>
        <w:ind w:firstLine="420"/>
        <w:spacing w:line="460" w:lineRule="exact"/>
        <w:rPr>
          <w:rFonts w:ascii="宋体" w:hAnsi="宋体"/>
          <w:b/>
          <w:bCs/>
          <w:color w:val="000000" w:themeColor="text1"/>
          <w:sz w:val="24"/>
          <w14:textFill>
            <w14:solidFill>
              <w14:schemeClr w14:val="tx1"/>
            </w14:solidFill>
          </w14:textFill>
        </w:rPr>
      </w:pPr>
      <w:r>
        <w:rPr>
          <w:rFonts w:hint="eastAsia" w:ascii="宋体" w:hAnsi="宋体" w:cs="Courier New"/>
          <w:bCs/>
          <w:color w:val="000000" w:themeColor="text1"/>
          <w14:textFill>
            <w14:solidFill>
              <w14:schemeClr w14:val="tx1"/>
            </w14:solidFill>
          </w14:textFill>
        </w:rPr>
        <w:t xml:space="preserve">（一）</w:t>
      </w:r>
      <w:r>
        <w:rPr>
          <w:rFonts w:hint="eastAsia" w:ascii="宋体" w:hAnsi="宋体"/>
          <w:b/>
          <w:bCs/>
          <w:color w:val="000000" w:themeColor="text1"/>
          <w:sz w:val="24"/>
          <w14:textFill>
            <w14:solidFill>
              <w14:schemeClr w14:val="tx1"/>
            </w14:solidFill>
          </w14:textFill>
        </w:rPr>
        <w:t xml:space="preserve">资格审查</w:t>
      </w:r>
      <w:r/>
    </w:p>
    <w:p>
      <w:pPr>
        <w:ind w:firstLine="482"/>
        <w:spacing w:line="4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开标结束后，采购人或者采购代理机构依法对投标人的资格进行审查。</w:t>
      </w:r>
      <w:r/>
    </w:p>
    <w:p>
      <w:pPr>
        <w:ind w:firstLine="480"/>
        <w:spacing w:line="460" w:lineRule="exact"/>
        <w:rPr>
          <w:rFonts w:asci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审查投标文件中的资格、资信证明文件等，以确定投标人是否具备投标资格。</w:t>
      </w:r>
      <w:r/>
    </w:p>
    <w:p>
      <w:pPr>
        <w:ind w:firstLine="480"/>
        <w:spacing w:line="460" w:lineRule="exact"/>
        <w:rPr>
          <w:rFonts w:ascii="宋体" w:hAnsi="宋体"/>
          <w:b/>
          <w:bCs/>
          <w:color w:val="000000" w:themeColor="text1"/>
          <w:sz w:val="24"/>
          <w14:textFill>
            <w14:solidFill>
              <w14:schemeClr w14:val="tx1"/>
            </w14:solidFill>
          </w14:textFill>
        </w:rPr>
      </w:pPr>
      <w:r>
        <w:rPr>
          <w:rFonts w:hint="eastAsia" w:ascii="宋体" w:hAnsi="宋体" w:cs="Courier New"/>
          <w:bCs/>
          <w:color w:val="000000" w:themeColor="text1"/>
          <w:sz w:val="24"/>
          <w14:textFill>
            <w14:solidFill>
              <w14:schemeClr w14:val="tx1"/>
            </w14:solidFill>
          </w14:textFill>
        </w:rPr>
        <w:t xml:space="preserve">（二）</w:t>
      </w:r>
      <w:r>
        <w:rPr>
          <w:rFonts w:hint="eastAsia" w:ascii="宋体" w:hAnsi="宋体"/>
          <w:b/>
          <w:bCs/>
          <w:color w:val="000000" w:themeColor="text1"/>
          <w:sz w:val="24"/>
          <w14:textFill>
            <w14:solidFill>
              <w14:schemeClr w14:val="tx1"/>
            </w14:solidFill>
          </w14:textFill>
        </w:rPr>
        <w:t xml:space="preserve">符合性审查</w:t>
      </w:r>
      <w:r/>
    </w:p>
    <w:p>
      <w:pPr>
        <w:ind w:firstLine="482"/>
        <w:spacing w:line="4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评标委员会对符合资格的投标人的投标文件进行符合性审查。</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依据招标文件的规定，从投标文件的有效性、完整性和对招标文件的响应程度进行审查，以确定其是否满足招标文件的实质性要求。</w:t>
      </w:r>
      <w:r/>
    </w:p>
    <w:p>
      <w:pPr>
        <w:ind w:firstLine="480"/>
        <w:spacing w:line="4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明确响应的投标应该是与招标文件要求的全部条款、条件和规格相符，没有重大偏离或保留的投标。</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bCs/>
          <w:color w:val="000000" w:themeColor="text1"/>
          <w:sz w:val="24"/>
          <w14:textFill>
            <w14:solidFill>
              <w14:schemeClr w14:val="tx1"/>
            </w14:solidFill>
          </w14:textFill>
        </w:rPr>
        <w:t xml:space="preserve">评委决定投标文件的响应性只根据投标文件本身的内容，而不寻求外部的证据。</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如果投标文件没有明确响应招标文件的要求，评标委员会将按无效投标处理，投标人不得通过修改或撤销不合要求的偏离或保留而使其投标成为明确响应的投标。</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评标委员会将对确定为明确响应的投标进行进一步审核，</w:t>
      </w:r>
      <w:r>
        <w:rPr>
          <w:rFonts w:hint="eastAsia" w:ascii="宋体" w:hAnsi="宋体" w:cs="Arial"/>
          <w:color w:val="000000" w:themeColor="text1"/>
          <w:sz w:val="24"/>
          <w14:textFill>
            <w14:solidFill>
              <w14:schemeClr w14:val="tx1"/>
            </w14:solidFill>
          </w14:textFill>
        </w:rPr>
        <w:t xml:space="preserve">投标文件报价出现前后不一致的，除招标文件另有规定外，按照下列规定修正：</w:t>
      </w:r>
      <w:r/>
    </w:p>
    <w:p>
      <w:pPr>
        <w:ind w:firstLine="480"/>
        <w:spacing w:line="46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w:t>
      </w:r>
      <w:r>
        <w:rPr>
          <w:rFonts w:hint="eastAsia" w:ascii="宋体" w:hAnsi="宋体" w:cs="Arial"/>
          <w:color w:val="000000" w:themeColor="text1"/>
          <w:sz w:val="24"/>
          <w14:textFill>
            <w14:solidFill>
              <w14:schemeClr w14:val="tx1"/>
            </w14:solidFill>
          </w14:textFill>
        </w:rPr>
        <w:t xml:space="preserve">投标文件中开标一览表内容与投标文件中相应内容不一致的，以开标一览表为准；</w:t>
      </w:r>
      <w:r/>
    </w:p>
    <w:p>
      <w:pPr>
        <w:contextualSpacing/>
        <w:jc w:val="left"/>
        <w:spacing w:before="100" w:beforeAutospacing="1" w:after="240" w:line="460" w:lineRule="exact"/>
        <w:widowControl/>
        <w:rPr>
          <w:rFonts w:ascii="宋体" w:hAns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　　</w:t>
      </w:r>
      <w:r>
        <w:rPr>
          <w:rFonts w:ascii="宋体" w:hAnsi="宋体"/>
          <w:bCs/>
          <w:color w:val="000000" w:themeColor="text1"/>
          <w:sz w:val="24"/>
          <w14:textFill>
            <w14:solidFill>
              <w14:schemeClr w14:val="tx1"/>
            </w14:solidFill>
          </w14:textFill>
        </w:rPr>
        <w:t xml:space="preserve">2.</w:t>
      </w:r>
      <w:r>
        <w:rPr>
          <w:rFonts w:hint="eastAsia" w:ascii="宋体" w:hAnsi="宋体" w:cs="Arial"/>
          <w:color w:val="000000" w:themeColor="text1"/>
          <w:sz w:val="24"/>
          <w14:textFill>
            <w14:solidFill>
              <w14:schemeClr w14:val="tx1"/>
            </w14:solidFill>
          </w14:textFill>
        </w:rPr>
        <w:t xml:space="preserve">大写金额和小写金额不一致的，以大写金额为准；</w:t>
      </w:r>
      <w:r/>
    </w:p>
    <w:p>
      <w:pPr>
        <w:contextualSpacing/>
        <w:jc w:val="left"/>
        <w:spacing w:before="100" w:beforeAutospacing="1" w:after="240" w:line="460" w:lineRule="exact"/>
        <w:widowControl/>
        <w:rPr>
          <w:rFonts w:ascii="宋体" w:hAns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　　</w:t>
      </w:r>
      <w:r>
        <w:rPr>
          <w:rFonts w:ascii="宋体" w:hAnsi="宋体"/>
          <w:bCs/>
          <w:color w:val="000000" w:themeColor="text1"/>
          <w:sz w:val="24"/>
          <w14:textFill>
            <w14:solidFill>
              <w14:schemeClr w14:val="tx1"/>
            </w14:solidFill>
          </w14:textFill>
        </w:rPr>
        <w:t xml:space="preserve">3.</w:t>
      </w:r>
      <w:r>
        <w:rPr>
          <w:rFonts w:hint="eastAsia" w:ascii="宋体" w:hAnsi="宋体" w:cs="Arial"/>
          <w:color w:val="000000" w:themeColor="text1"/>
          <w:sz w:val="24"/>
          <w14:textFill>
            <w14:solidFill>
              <w14:schemeClr w14:val="tx1"/>
            </w14:solidFill>
          </w14:textFill>
        </w:rPr>
        <w:t xml:space="preserve">单价金额小数点或者百分比有明显错位的，以开标一览表的总价为准，并修改单价；</w:t>
      </w:r>
      <w:r/>
    </w:p>
    <w:p>
      <w:pPr>
        <w:contextualSpacing/>
        <w:jc w:val="left"/>
        <w:spacing w:before="100" w:beforeAutospacing="1" w:after="240" w:line="460" w:lineRule="exact"/>
        <w:widowControl/>
        <w:rPr>
          <w:rFonts w:ascii="宋体" w:hAns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　　</w:t>
      </w:r>
      <w:r>
        <w:rPr>
          <w:rFonts w:ascii="宋体" w:hAnsi="宋体"/>
          <w:bCs/>
          <w:color w:val="000000" w:themeColor="text1"/>
          <w:sz w:val="24"/>
          <w14:textFill>
            <w14:solidFill>
              <w14:schemeClr w14:val="tx1"/>
            </w14:solidFill>
          </w14:textFill>
        </w:rPr>
        <w:t xml:space="preserve">4.</w:t>
      </w:r>
      <w:r>
        <w:rPr>
          <w:rFonts w:hint="eastAsia" w:ascii="宋体" w:hAnsi="宋体" w:cs="Arial"/>
          <w:color w:val="000000" w:themeColor="text1"/>
          <w:sz w:val="24"/>
          <w14:textFill>
            <w14:solidFill>
              <w14:schemeClr w14:val="tx1"/>
            </w14:solidFill>
          </w14:textFill>
        </w:rPr>
        <w:t xml:space="preserve">总价金额与按单价汇总金额不一致的，以单价金额计算结果为准。</w:t>
      </w:r>
      <w:r/>
    </w:p>
    <w:p>
      <w:pPr>
        <w:ind w:firstLine="480"/>
        <w:spacing w:line="460" w:lineRule="exact"/>
        <w:rPr>
          <w:rFonts w:ascii="宋体" w:hAnsi="宋体" w:cs="Arial"/>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评标委员会将按上述修正错误的方法调整投标文件中的投标报价，</w:t>
      </w:r>
      <w:r>
        <w:rPr>
          <w:rFonts w:hint="eastAsia" w:ascii="宋体" w:hAnsi="宋体" w:cs="Arial"/>
          <w:color w:val="000000" w:themeColor="text1"/>
          <w:sz w:val="24"/>
          <w14:textFill>
            <w14:solidFill>
              <w14:schemeClr w14:val="tx1"/>
            </w14:solidFill>
          </w14:textFill>
        </w:rPr>
        <w:t xml:space="preserve">修正后的报价应当采用书面形式，并加盖公章，或者由法定代表人或其授权的代表签字，经投标人确认后产生约束力，投标人不确认的，其投标无效。</w:t>
      </w:r>
      <w:r/>
    </w:p>
    <w:p>
      <w:pPr>
        <w:ind w:firstLine="480"/>
        <w:spacing w:line="460" w:lineRule="exact"/>
        <w:rPr>
          <w:rFonts w:ascii="宋体" w:hAns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744"/>
        <w:ind w:firstLine="482"/>
        <w:spacing w:before="0" w:after="0" w:line="46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三、评分标准</w:t>
      </w:r>
      <w:r/>
    </w:p>
    <w:p>
      <w:pPr>
        <w:ind w:firstLine="480"/>
        <w:spacing w:line="460" w:lineRule="exact"/>
        <w:rPr>
          <w:rFonts w:ascii="宋体" w:hAnsi="宋体" w:cs="Courier New"/>
          <w:bCs/>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评标时，评标委员会各成员独立对每个投标人的投标文件进行评价，并汇总每个投标人的得分。</w:t>
      </w:r>
      <w:r>
        <w:rPr>
          <w:rFonts w:hint="eastAsia" w:ascii="宋体" w:hAnsi="宋体" w:cs="Courier New"/>
          <w:bCs/>
          <w:color w:val="000000" w:themeColor="text1"/>
          <w:sz w:val="24"/>
          <w14:textFill>
            <w14:solidFill>
              <w14:schemeClr w14:val="tx1"/>
            </w14:solidFill>
          </w14:textFill>
        </w:rPr>
        <w:t xml:space="preserve">本项目评分总分值为</w:t>
      </w:r>
      <w:r>
        <w:rPr>
          <w:rFonts w:ascii="宋体" w:hAnsi="宋体" w:cs="Courier New"/>
          <w:bCs/>
          <w:color w:val="000000" w:themeColor="text1"/>
          <w:sz w:val="24"/>
          <w14:textFill>
            <w14:solidFill>
              <w14:schemeClr w14:val="tx1"/>
            </w14:solidFill>
          </w14:textFill>
        </w:rPr>
        <w:t xml:space="preserve">100</w:t>
      </w:r>
      <w:r>
        <w:rPr>
          <w:rFonts w:hint="eastAsia" w:ascii="宋体" w:hAnsi="宋体" w:cs="Courier New"/>
          <w:bCs/>
          <w:color w:val="000000" w:themeColor="text1"/>
          <w:sz w:val="24"/>
          <w14:textFill>
            <w14:solidFill>
              <w14:schemeClr w14:val="tx1"/>
            </w14:solidFill>
          </w14:textFill>
        </w:rPr>
        <w:t xml:space="preserve">分。</w:t>
      </w:r>
      <w:r/>
    </w:p>
    <w:tbl>
      <w:tblPr>
        <w:tblStyle w:val="751"/>
        <w:tblW w:w="9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85"/>
      </w:tblGrid>
      <w:tr>
        <w:trPr>
          <w:jc w:val="center"/>
          <w:trHeight w:val="90"/>
        </w:trPr>
        <w:tc>
          <w:tcPr>
            <w:tcW w:w="9685" w:type="dxa"/>
            <w:textDirection w:val="lrTb"/>
            <w:noWrap w:val="false"/>
          </w:tcPr>
          <w:p>
            <w:pPr>
              <w:ind w:firstLine="482"/>
              <w:jc w:val="center"/>
              <w:spacing w:line="460" w:lineRule="exac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评审内容</w:t>
            </w:r>
            <w:r/>
          </w:p>
        </w:tc>
      </w:tr>
      <w:tr>
        <w:trPr>
          <w:jc w:val="center"/>
          <w:trHeight w:val="90"/>
        </w:trPr>
        <w:tc>
          <w:tcPr>
            <w:tcW w:w="9685" w:type="dxa"/>
            <w:vAlign w:val="center"/>
            <w:textDirection w:val="lrTb"/>
            <w:noWrap w:val="false"/>
          </w:tcPr>
          <w:p>
            <w:pPr>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一、投标报价（10分）</w:t>
            </w:r>
            <w:r/>
          </w:p>
        </w:tc>
      </w:tr>
      <w:tr>
        <w:trPr>
          <w:jc w:val="center"/>
          <w:trHeight w:val="90"/>
        </w:trPr>
        <w:tc>
          <w:tcPr>
            <w:tcW w:w="9685" w:type="dxa"/>
            <w:vAlign w:val="center"/>
            <w:textDirection w:val="lrTb"/>
            <w:noWrap w:val="false"/>
          </w:tcPr>
          <w:p>
            <w:pPr>
              <w:ind w:firstLine="420"/>
              <w:spacing w:line="360" w:lineRule="auto"/>
              <w:rPr>
                <w:rFonts w:ascii="宋体" w:hAnsi="宋体" w:cs="Calibri"/>
                <w:color w:val="000000" w:themeColor="text1"/>
                <w:sz w:val="24"/>
                <w14:textFill>
                  <w14:solidFill>
                    <w14:schemeClr w14:val="tx1"/>
                  </w14:solidFill>
                </w14:textFill>
              </w:rPr>
            </w:pPr>
            <w:r>
              <w:rPr>
                <w:rFonts w:hint="eastAsia" w:ascii="宋体" w:hAnsi="宋体" w:cs="Calibri"/>
                <w:color w:val="000000" w:themeColor="text1"/>
                <w:sz w:val="24"/>
                <w14:textFill>
                  <w14:solidFill>
                    <w14:schemeClr w14:val="tx1"/>
                  </w14:solidFill>
                </w14:textFill>
              </w:rPr>
              <w:t xml:space="preserve">满足招标文件要求且投标价格最低的投标报价为评标基准价，其价格分为满分。其他投标人的价格分统一按照下列公式计算：</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Calibri"/>
                <w:color w:val="000000" w:themeColor="text1"/>
                <w:sz w:val="24"/>
                <w14:textFill>
                  <w14:solidFill>
                    <w14:schemeClr w14:val="tx1"/>
                  </w14:solidFill>
                </w14:textFill>
              </w:rPr>
              <w:t xml:space="preserve">投标报价得分=（评标基准价／投标报价）×10（该结果四舍五入，保留两位小数）</w:t>
            </w:r>
            <w:r/>
          </w:p>
        </w:tc>
      </w:tr>
      <w:tr>
        <w:trPr>
          <w:jc w:val="center"/>
          <w:trHeight w:val="429"/>
        </w:trPr>
        <w:tc>
          <w:tcPr>
            <w:tcW w:w="9685" w:type="dxa"/>
            <w:vAlign w:val="center"/>
            <w:textDirection w:val="lrTb"/>
            <w:noWrap w:val="false"/>
          </w:tcPr>
          <w:p>
            <w:pPr>
              <w:ind w:firstLine="48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w:t>
            </w:r>
            <w:r>
              <w:rPr>
                <w:rFonts w:hint="eastAsia" w:ascii="宋体" w:hAnsi="宋体" w:cs="宋体"/>
                <w:b/>
                <w:color w:val="000000" w:themeColor="text1"/>
                <w:sz w:val="24"/>
                <w14:textFill>
                  <w14:solidFill>
                    <w14:schemeClr w14:val="tx1"/>
                  </w14:solidFill>
                </w14:textFill>
              </w:rPr>
              <w:t xml:space="preserve">业绩</w:t>
            </w:r>
            <w:r>
              <w:rPr>
                <w:rFonts w:hint="eastAsia" w:ascii="宋体" w:hAnsi="宋体" w:cs="宋体"/>
                <w:b/>
                <w:bCs/>
                <w:color w:val="000000" w:themeColor="text1"/>
                <w:sz w:val="24"/>
                <w14:textFill>
                  <w14:solidFill>
                    <w14:schemeClr w14:val="tx1"/>
                  </w14:solidFill>
                </w14:textFill>
              </w:rPr>
              <w:t xml:space="preserve">（8分）</w:t>
            </w:r>
            <w:r/>
          </w:p>
        </w:tc>
      </w:tr>
      <w:tr>
        <w:trPr>
          <w:jc w:val="center"/>
          <w:trHeight w:val="522"/>
        </w:trPr>
        <w:tc>
          <w:tcPr>
            <w:tcW w:w="9685" w:type="dxa"/>
            <w:vAlign w:val="center"/>
            <w:textDirection w:val="lrTb"/>
            <w:noWrap w:val="false"/>
          </w:tcPr>
          <w:p>
            <w:pPr>
              <w:ind w:firstLine="420"/>
              <w:jc w:val="left"/>
              <w:spacing w:line="360" w:lineRule="auto"/>
              <w:widowControl/>
              <w:rPr>
                <w:rFonts w:ascii="宋体" w:hAnsi="宋体" w:cs="Calibri"/>
                <w:color w:val="000000" w:themeColor="text1"/>
                <w:sz w:val="24"/>
                <w14:textFill>
                  <w14:solidFill>
                    <w14:schemeClr w14:val="tx1"/>
                  </w14:solidFill>
                </w14:textFill>
              </w:rPr>
            </w:pPr>
            <w:r/>
            <w:bookmarkStart w:id="131" w:name="OLE_LINK95"/>
            <w:r>
              <w:rPr>
                <w:rFonts w:ascii="宋体" w:hAnsi="宋体" w:cs="Calibri"/>
                <w:color w:val="000000" w:themeColor="text1"/>
                <w:sz w:val="24"/>
                <w14:textFill>
                  <w14:solidFill>
                    <w14:schemeClr w14:val="tx1"/>
                  </w14:solidFill>
                </w14:textFill>
              </w:rPr>
              <w:t xml:space="preserve">投标人自202</w:t>
            </w:r>
            <w:r>
              <w:rPr>
                <w:rFonts w:hint="eastAsia" w:ascii="宋体" w:hAnsi="宋体" w:cs="Calibri"/>
                <w:color w:val="000000" w:themeColor="text1"/>
                <w:sz w:val="24"/>
                <w14:textFill>
                  <w14:solidFill>
                    <w14:schemeClr w14:val="tx1"/>
                  </w14:solidFill>
                </w14:textFill>
              </w:rPr>
              <w:t xml:space="preserve">0</w:t>
            </w:r>
            <w:r>
              <w:rPr>
                <w:rFonts w:ascii="宋体" w:hAnsi="宋体" w:cs="Calibri"/>
                <w:color w:val="000000" w:themeColor="text1"/>
                <w:sz w:val="24"/>
                <w14:textFill>
                  <w14:solidFill>
                    <w14:schemeClr w14:val="tx1"/>
                  </w14:solidFill>
                </w14:textFill>
              </w:rPr>
              <w:t xml:space="preserve">年</w:t>
            </w:r>
            <w:r>
              <w:rPr>
                <w:rFonts w:hint="eastAsia" w:ascii="宋体" w:hAnsi="宋体" w:cs="Calibri"/>
                <w:color w:val="000000" w:themeColor="text1"/>
                <w:sz w:val="24"/>
                <w14:textFill>
                  <w14:solidFill>
                    <w14:schemeClr w14:val="tx1"/>
                  </w14:solidFill>
                </w14:textFill>
              </w:rPr>
              <w:t xml:space="preserve">1</w:t>
            </w:r>
            <w:r>
              <w:rPr>
                <w:rFonts w:ascii="宋体" w:hAnsi="宋体" w:cs="Calibri"/>
                <w:color w:val="000000" w:themeColor="text1"/>
                <w:sz w:val="24"/>
                <w14:textFill>
                  <w14:solidFill>
                    <w14:schemeClr w14:val="tx1"/>
                  </w14:solidFill>
                </w14:textFill>
              </w:rPr>
              <w:t xml:space="preserve">月1日以来（</w:t>
            </w:r>
            <w:r>
              <w:rPr>
                <w:rFonts w:hint="eastAsia" w:ascii="宋体" w:hAnsi="宋体" w:cs="宋体"/>
                <w:color w:val="000000" w:themeColor="text1"/>
                <w:sz w:val="24"/>
                <w:lang w:val="zh-CN"/>
                <w14:textFill>
                  <w14:solidFill>
                    <w14:schemeClr w14:val="tx1"/>
                  </w14:solidFill>
                </w14:textFill>
              </w:rPr>
              <w:t xml:space="preserve">以合同签订时间为准</w:t>
            </w:r>
            <w:r>
              <w:rPr>
                <w:rFonts w:ascii="宋体" w:hAnsi="宋体" w:cs="Calibri"/>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至今承担过类似项目</w:t>
            </w:r>
            <w:r>
              <w:rPr>
                <w:rFonts w:ascii="宋体" w:hAnsi="宋体" w:cs="Calibri"/>
                <w:color w:val="000000" w:themeColor="text1"/>
                <w:sz w:val="24"/>
                <w14:textFill>
                  <w14:solidFill>
                    <w14:schemeClr w14:val="tx1"/>
                  </w14:solidFill>
                </w14:textFill>
              </w:rPr>
              <w:t xml:space="preserve">业绩</w:t>
            </w:r>
            <w:r>
              <w:rPr>
                <w:rFonts w:hint="eastAsia" w:ascii="宋体" w:hAnsi="宋体" w:cs="Calibri"/>
                <w:color w:val="000000" w:themeColor="text1"/>
                <w:sz w:val="24"/>
                <w14:textFill>
                  <w14:solidFill>
                    <w14:schemeClr w14:val="tx1"/>
                  </w14:solidFill>
                </w14:textFill>
              </w:rPr>
              <w:t xml:space="preserve">的</w:t>
            </w:r>
            <w:r>
              <w:rPr>
                <w:rFonts w:ascii="宋体" w:hAnsi="宋体" w:cs="Calibri"/>
                <w:color w:val="000000" w:themeColor="text1"/>
                <w:sz w:val="24"/>
                <w14:textFill>
                  <w14:solidFill>
                    <w14:schemeClr w14:val="tx1"/>
                  </w14:solidFill>
                </w14:textFill>
              </w:rPr>
              <w:t xml:space="preserve">，有1个得</w:t>
            </w:r>
            <w:r>
              <w:rPr>
                <w:rFonts w:hint="eastAsia" w:ascii="宋体" w:hAnsi="宋体" w:cs="Calibri"/>
                <w:color w:val="000000" w:themeColor="text1"/>
                <w:sz w:val="24"/>
                <w14:textFill>
                  <w14:solidFill>
                    <w14:schemeClr w14:val="tx1"/>
                  </w14:solidFill>
                </w14:textFill>
              </w:rPr>
              <w:t xml:space="preserve">2</w:t>
            </w:r>
            <w:r>
              <w:rPr>
                <w:rFonts w:ascii="宋体" w:hAnsi="宋体" w:cs="Calibri"/>
                <w:color w:val="000000" w:themeColor="text1"/>
                <w:sz w:val="24"/>
                <w14:textFill>
                  <w14:solidFill>
                    <w14:schemeClr w14:val="tx1"/>
                  </w14:solidFill>
                </w14:textFill>
              </w:rPr>
              <w:t xml:space="preserve">分，最高得</w:t>
            </w:r>
            <w:r>
              <w:rPr>
                <w:rFonts w:hint="eastAsia" w:ascii="宋体" w:hAnsi="宋体" w:cs="Calibri"/>
                <w:color w:val="000000" w:themeColor="text1"/>
                <w:sz w:val="24"/>
                <w14:textFill>
                  <w14:solidFill>
                    <w14:schemeClr w14:val="tx1"/>
                  </w14:solidFill>
                </w14:textFill>
              </w:rPr>
              <w:t xml:space="preserve">8</w:t>
            </w:r>
            <w:r>
              <w:rPr>
                <w:rFonts w:ascii="宋体" w:hAnsi="宋体" w:cs="Calibri"/>
                <w:color w:val="000000" w:themeColor="text1"/>
                <w:sz w:val="24"/>
                <w14:textFill>
                  <w14:solidFill>
                    <w14:schemeClr w14:val="tx1"/>
                  </w14:solidFill>
                </w14:textFill>
              </w:rPr>
              <w:t xml:space="preserve">分。</w:t>
            </w:r>
            <w:bookmarkEnd w:id="131"/>
            <w:r/>
            <w:r/>
          </w:p>
          <w:p>
            <w:pPr>
              <w:ind w:firstLine="420"/>
              <w:spacing w:line="360" w:lineRule="auto"/>
              <w:rPr>
                <w:rFonts w:ascii="宋体" w:hAnsi="宋体" w:cs="宋体"/>
                <w:color w:val="000000" w:themeColor="text1"/>
                <w14:textFill>
                  <w14:solidFill>
                    <w14:schemeClr w14:val="tx1"/>
                  </w14:solidFill>
                </w14:textFill>
              </w:rPr>
            </w:pPr>
            <w:r>
              <w:rPr>
                <w:rFonts w:ascii="宋体" w:hAnsi="宋体" w:cs="Calibri"/>
                <w:color w:val="000000" w:themeColor="text1"/>
                <w:sz w:val="24"/>
                <w14:textFill>
                  <w14:solidFill>
                    <w14:schemeClr w14:val="tx1"/>
                  </w14:solidFill>
                </w14:textFill>
              </w:rPr>
              <w:t xml:space="preserve">注：提供合同原件扫描件</w:t>
            </w: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加盖投标人公章</w:t>
            </w:r>
            <w:r>
              <w:rPr>
                <w:rFonts w:hint="eastAsia" w:ascii="宋体" w:hAnsi="宋体" w:cs="Calibri"/>
                <w:color w:val="000000" w:themeColor="text1"/>
                <w:sz w:val="24"/>
                <w14:textFill>
                  <w14:solidFill>
                    <w14:schemeClr w14:val="tx1"/>
                  </w14:solidFill>
                </w14:textFill>
              </w:rPr>
              <w:t xml:space="preserve">。【</w:t>
            </w:r>
            <w:r>
              <w:rPr>
                <w:rFonts w:ascii="宋体" w:hAnsi="宋体" w:cs="Calibri"/>
                <w:color w:val="000000" w:themeColor="text1"/>
                <w:sz w:val="24"/>
                <w14:textFill>
                  <w14:solidFill>
                    <w14:schemeClr w14:val="tx1"/>
                  </w14:solidFill>
                </w14:textFill>
              </w:rPr>
              <w:t xml:space="preserve">合同须能反映项目名称、主要标的物、签订时间、单位公章或专用合同章，如不能反映的，另须提供盖有原委托单位公章的证明，否则不予认可。】</w:t>
            </w:r>
            <w:r/>
          </w:p>
        </w:tc>
      </w:tr>
      <w:tr>
        <w:trPr>
          <w:jc w:val="center"/>
          <w:trHeight w:val="486"/>
        </w:trPr>
        <w:tc>
          <w:tcPr>
            <w:tcW w:w="9685" w:type="dxa"/>
            <w:vAlign w:val="center"/>
            <w:textDirection w:val="lrTb"/>
            <w:noWrap w:val="false"/>
          </w:tcPr>
          <w:p>
            <w:pPr>
              <w:ind w:firstLine="48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三、拟派本项目人员情况（15分）</w:t>
            </w:r>
            <w:r/>
          </w:p>
        </w:tc>
      </w:tr>
      <w:tr>
        <w:trPr>
          <w:jc w:val="center"/>
          <w:trHeight w:val="698"/>
        </w:trPr>
        <w:tc>
          <w:tcPr>
            <w:tcW w:w="9685" w:type="dxa"/>
            <w:vAlign w:val="center"/>
            <w:textDirection w:val="lrTb"/>
            <w:noWrap w:val="false"/>
          </w:tcPr>
          <w:p>
            <w:pPr>
              <w:ind w:firstLine="480"/>
              <w:spacing w:line="360" w:lineRule="auto"/>
              <w:widowControl/>
              <w:rPr>
                <w:rFonts w:ascii="宋体" w:hAnsi="宋体" w:cs="仿宋"/>
                <w:color w:val="000000" w:themeColor="text1"/>
                <w:sz w:val="24"/>
                <w14:textFill>
                  <w14:solidFill>
                    <w14:schemeClr w14:val="tx1"/>
                  </w14:solidFill>
                </w14:textFill>
              </w:rPr>
            </w:pPr>
            <w:r/>
            <w:bookmarkStart w:id="132" w:name="OLE_LINK96"/>
            <w:r>
              <w:rPr>
                <w:rFonts w:hint="eastAsia" w:ascii="宋体" w:hAnsi="宋体" w:cs="仿宋"/>
                <w:color w:val="000000" w:themeColor="text1"/>
                <w:sz w:val="24"/>
                <w14:textFill>
                  <w14:solidFill>
                    <w14:schemeClr w14:val="tx1"/>
                  </w14:solidFill>
                </w14:textFill>
              </w:rPr>
              <w:t xml:space="preserve">1、拟投入项目负责人</w:t>
            </w:r>
            <w:r>
              <w:rPr>
                <w:rFonts w:hint="eastAsia" w:ascii="宋体" w:hAnsi="宋体" w:cs="Calibri"/>
                <w:color w:val="000000" w:themeColor="text1"/>
                <w:sz w:val="24"/>
                <w14:textFill>
                  <w14:solidFill>
                    <w14:schemeClr w14:val="tx1"/>
                  </w14:solidFill>
                </w14:textFill>
              </w:rPr>
              <w:t xml:space="preserve">具有安全或化工等相关专业正高级工程师职称和注册安全工程师的得3分，副高级工程师职称和注册安全工程师的的得2分，本小项至多得3分。</w:t>
            </w:r>
            <w:r/>
          </w:p>
          <w:p>
            <w:pPr>
              <w:ind w:firstLine="480"/>
              <w:spacing w:line="360" w:lineRule="auto"/>
              <w:widowControl/>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2、拟投入本项目的团队成员（项目负责人除外）</w:t>
            </w:r>
            <w:bookmarkStart w:id="133" w:name="OLE_LINK86"/>
            <w:r>
              <w:rPr>
                <w:rFonts w:hint="eastAsia" w:ascii="宋体" w:hAnsi="宋体" w:cs="仿宋"/>
                <w:color w:val="000000" w:themeColor="text1"/>
                <w:sz w:val="24"/>
                <w14:textFill>
                  <w14:solidFill>
                    <w14:schemeClr w14:val="tx1"/>
                  </w14:solidFill>
                </w14:textFill>
              </w:rPr>
              <w:t xml:space="preserve">，同时具有相应专业（包括化工类、机械类、安全类）高级</w:t>
            </w:r>
            <w:r>
              <w:rPr>
                <w:rFonts w:hint="eastAsia" w:ascii="宋体" w:hAnsi="宋体" w:cs="Calibri"/>
                <w:color w:val="000000" w:themeColor="text1"/>
                <w:sz w:val="24"/>
                <w14:textFill>
                  <w14:solidFill>
                    <w14:schemeClr w14:val="tx1"/>
                  </w14:solidFill>
                </w14:textFill>
              </w:rPr>
              <w:t xml:space="preserve">工程师</w:t>
            </w:r>
            <w:r>
              <w:rPr>
                <w:rFonts w:hint="eastAsia" w:ascii="宋体" w:hAnsi="宋体" w:cs="仿宋"/>
                <w:color w:val="000000" w:themeColor="text1"/>
                <w:sz w:val="24"/>
                <w14:textFill>
                  <w14:solidFill>
                    <w14:schemeClr w14:val="tx1"/>
                  </w14:solidFill>
                </w14:textFill>
              </w:rPr>
              <w:t xml:space="preserve">职称</w:t>
            </w:r>
            <w:bookmarkEnd w:id="133"/>
            <w:r>
              <w:rPr>
                <w:rFonts w:hint="eastAsia" w:ascii="宋体" w:hAnsi="宋体" w:cs="仿宋"/>
                <w:color w:val="000000" w:themeColor="text1"/>
                <w:sz w:val="24"/>
                <w14:textFill>
                  <w14:solidFill>
                    <w14:schemeClr w14:val="tx1"/>
                  </w14:solidFill>
                </w14:textFill>
              </w:rPr>
              <w:t xml:space="preserve">得2分，</w:t>
            </w:r>
            <w:r>
              <w:rPr>
                <w:rFonts w:hint="eastAsia" w:ascii="宋体" w:hAnsi="宋体" w:cs="仿宋"/>
                <w:color w:val="000000" w:themeColor="text1"/>
                <w:sz w:val="24"/>
                <w:lang w:val="en-US" w:eastAsia="zh-CN"/>
                <w14:textFill>
                  <w14:solidFill>
                    <w14:schemeClr w14:val="tx1"/>
                  </w14:solidFill>
                </w14:textFill>
              </w:rPr>
              <w:t xml:space="preserve">中级</w:t>
            </w:r>
            <w:r>
              <w:rPr>
                <w:rFonts w:hint="eastAsia" w:ascii="宋体" w:hAnsi="宋体" w:cs="仿宋"/>
                <w:color w:val="000000" w:themeColor="text1"/>
                <w:sz w:val="24"/>
                <w14:textFill>
                  <w14:solidFill>
                    <w14:schemeClr w14:val="tx1"/>
                  </w14:solidFill>
                </w14:textFill>
              </w:rPr>
              <w:t xml:space="preserve">工程师职称的得1分。每个专业最多2人，最高12分。</w:t>
            </w:r>
            <w:bookmarkEnd w:id="132"/>
            <w:r/>
            <w:r/>
          </w:p>
          <w:p>
            <w:pPr>
              <w:ind w:firstLine="420"/>
              <w:spacing w:line="360" w:lineRule="auto"/>
              <w:rPr>
                <w:rFonts w:ascii="宋体" w:hAnsi="宋体" w:cs="宋体"/>
                <w:color w:val="000000" w:themeColor="text1"/>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注：本项最高得15分。文件中需提供①相关人员证书原件扫描件加盖投标人公章②投标单位为其缴纳的</w:t>
            </w:r>
            <w:r>
              <w:rPr>
                <w:rFonts w:hint="eastAsia" w:ascii="宋体" w:hAnsi="宋体" w:cs="宋体"/>
                <w:color w:val="000000" w:themeColor="text1"/>
                <w:sz w:val="24"/>
                <w14:textFill>
                  <w14:solidFill>
                    <w14:schemeClr w14:val="tx1"/>
                  </w14:solidFill>
                </w14:textFill>
              </w:rPr>
              <w:t xml:space="preserve">近三个月任意一个月</w:t>
            </w: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社保证明材料扫描件加盖投标人公章。</w:t>
            </w:r>
            <w:r/>
          </w:p>
        </w:tc>
      </w:tr>
      <w:tr>
        <w:trPr>
          <w:jc w:val="center"/>
          <w:trHeight w:val="419"/>
        </w:trPr>
        <w:tc>
          <w:tcPr>
            <w:tcW w:w="9685" w:type="dxa"/>
            <w:vAlign w:val="center"/>
            <w:textDirection w:val="lrTb"/>
            <w:noWrap w:val="false"/>
          </w:tcPr>
          <w:p>
            <w:pPr>
              <w:ind w:firstLine="482"/>
              <w:spacing w:line="360" w:lineRule="auto"/>
              <w:rPr>
                <w:rFonts w:ascii="宋体" w:hAnsi="宋体" w:cs="宋体"/>
                <w:color w:val="000000" w:themeColor="text1"/>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四、综合实力（10分）</w:t>
            </w:r>
            <w:r/>
          </w:p>
        </w:tc>
      </w:tr>
      <w:tr>
        <w:trPr>
          <w:jc w:val="center"/>
          <w:trHeight w:val="868"/>
        </w:trPr>
        <w:tc>
          <w:tcPr>
            <w:tcW w:w="9685" w:type="dxa"/>
            <w:vAlign w:val="center"/>
            <w:textDirection w:val="lrTb"/>
            <w:noWrap w:val="false"/>
          </w:tcPr>
          <w:p>
            <w:pPr>
              <w:ind w:firstLine="420"/>
              <w:spacing w:line="360" w:lineRule="auto"/>
              <w:rPr>
                <w:rFonts w:ascii="宋体" w:hAnsi="宋体" w:cs="宋体"/>
                <w:color w:val="000000" w:themeColor="text1"/>
                <w:sz w:val="24"/>
                <w14:textFill>
                  <w14:solidFill>
                    <w14:schemeClr w14:val="tx1"/>
                  </w14:solidFill>
                </w14:textFill>
              </w:rPr>
            </w:pPr>
            <w:r/>
            <w:bookmarkStart w:id="134" w:name="OLE_LINK98"/>
            <w:r/>
            <w:bookmarkStart w:id="135" w:name="OLE_LINK97"/>
            <w:r>
              <w:rPr>
                <w:rFonts w:hint="eastAsia" w:ascii="宋体" w:hAnsi="宋体" w:cs="宋体"/>
                <w:color w:val="000000" w:themeColor="text1"/>
                <w:sz w:val="24"/>
                <w14:textFill>
                  <w14:solidFill>
                    <w14:schemeClr w14:val="tx1"/>
                  </w14:solidFill>
                </w14:textFill>
              </w:rPr>
              <w:t xml:space="preserve">1、相关科研课题：投标人承担应急管理相关科研课题的，省部级以上每提供1个得3分，厅局每提供1个得2分，市级每提供1个得1分，最高得6分。提供合同原件扫描件或者项目验收证书原件扫描件</w:t>
            </w: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加盖投标人公章</w:t>
            </w:r>
            <w:r>
              <w:rPr>
                <w:rFonts w:hint="eastAsia" w:ascii="宋体" w:hAnsi="宋体" w:cs="宋体"/>
                <w:color w:val="000000" w:themeColor="text1"/>
                <w:sz w:val="24"/>
                <w14:textFill>
                  <w14:solidFill>
                    <w14:schemeClr w14:val="tx1"/>
                  </w14:solidFill>
                </w14:textFill>
              </w:rPr>
              <w:t xml:space="preserve">。</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2、相关标准制定：投标人制定过应急管理相关标准的，每项得2分，最高4分。提供相关标准技术规范文本证明材料原件扫描件</w:t>
            </w:r>
            <w:r>
              <w:rPr>
                <w:rFonts w:hint="eastAsia" w:asciiTheme="minorEastAsia" w:hAnsiTheme="minorEastAsia" w:eastAsiaTheme="minorEastAsia" w:cstheme="minorEastAsia"/>
                <w:bCs/>
                <w:color w:val="000000" w:themeColor="text1"/>
                <w:sz w:val="24"/>
                <w14:textFill>
                  <w14:solidFill>
                    <w14:schemeClr w14:val="tx1"/>
                  </w14:solidFill>
                </w14:textFill>
              </w:rPr>
              <w:t xml:space="preserve">加盖投标人公章</w:t>
            </w:r>
            <w:r>
              <w:rPr>
                <w:rFonts w:hint="eastAsia" w:ascii="宋体" w:hAnsi="宋体" w:cs="宋体"/>
                <w:color w:val="000000" w:themeColor="text1"/>
                <w:sz w:val="24"/>
                <w14:textFill>
                  <w14:solidFill>
                    <w14:schemeClr w14:val="tx1"/>
                  </w14:solidFill>
                </w14:textFill>
              </w:rPr>
              <w:t xml:space="preserve">，并在全国标准信息公共服务平台等网站可查询。</w:t>
            </w:r>
            <w:bookmarkEnd w:id="134"/>
            <w:r/>
            <w:bookmarkEnd w:id="135"/>
            <w:r/>
            <w:r/>
          </w:p>
        </w:tc>
      </w:tr>
      <w:tr>
        <w:trPr>
          <w:jc w:val="center"/>
          <w:trHeight w:val="521"/>
        </w:trPr>
        <w:tc>
          <w:tcPr>
            <w:tcW w:w="9685" w:type="dxa"/>
            <w:vAlign w:val="center"/>
            <w:textDirection w:val="lrTb"/>
            <w:noWrap w:val="false"/>
          </w:tcPr>
          <w:p>
            <w:pPr>
              <w:ind w:firstLine="48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五、项目实施技术方案（57分）</w:t>
            </w:r>
            <w:r/>
          </w:p>
        </w:tc>
      </w:tr>
      <w:tr>
        <w:trPr>
          <w:jc w:val="center"/>
          <w:trHeight w:val="90"/>
        </w:trPr>
        <w:tc>
          <w:tcPr>
            <w:tcW w:w="9685" w:type="dxa"/>
            <w:vAlign w:val="center"/>
            <w:textDirection w:val="lrTb"/>
            <w:noWrap w:val="false"/>
          </w:tcPr>
          <w:p>
            <w:pPr>
              <w:ind w:firstLine="48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1、技术方案（25分）</w:t>
            </w:r>
            <w:r/>
          </w:p>
          <w:p>
            <w:pPr>
              <w:ind w:firstLine="480"/>
              <w:spacing w:line="360" w:lineRule="auto"/>
              <w:widowControl/>
              <w:rPr>
                <w:rFonts w:ascii="宋体" w:hAnsi="宋体" w:cs="宋体"/>
                <w:color w:val="000000" w:themeColor="text1"/>
                <w:sz w:val="24"/>
                <w14:textFill>
                  <w14:solidFill>
                    <w14:schemeClr w14:val="tx1"/>
                  </w14:solidFill>
                </w14:textFill>
              </w:rPr>
            </w:pPr>
            <w:r/>
            <w:bookmarkStart w:id="136" w:name="OLE_LINK28"/>
            <w:r/>
            <w:bookmarkStart w:id="137" w:name="OLE_LINK27"/>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lang w:val="zh-CN"/>
                <w14:textFill>
                  <w14:solidFill>
                    <w14:schemeClr w14:val="tx1"/>
                  </w14:solidFill>
                </w14:textFill>
              </w:rPr>
              <w:t xml:space="preserve">根据本项目第四章中“项目实施方案”第（1）条要求提供至少包含：①</w:t>
            </w:r>
            <w:r>
              <w:rPr>
                <w:rFonts w:hint="eastAsia"/>
                <w:color w:val="000000" w:themeColor="text1"/>
                <w:sz w:val="24"/>
                <w14:textFill>
                  <w14:solidFill>
                    <w14:schemeClr w14:val="tx1"/>
                  </w14:solidFill>
                </w14:textFill>
              </w:rPr>
              <w:t xml:space="preserve">资料收集与调研</w:t>
            </w:r>
            <w:r>
              <w:rPr>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②</w:t>
            </w:r>
            <w:r>
              <w:rPr>
                <w:rFonts w:hint="eastAsia"/>
                <w:color w:val="000000" w:themeColor="text1"/>
                <w:sz w:val="24"/>
                <w14:textFill>
                  <w14:solidFill>
                    <w14:schemeClr w14:val="tx1"/>
                  </w14:solidFill>
                </w14:textFill>
              </w:rPr>
              <w:t xml:space="preserve">实地调研、座谈</w:t>
            </w:r>
            <w:r>
              <w:rPr>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③</w:t>
            </w:r>
            <w:r>
              <w:rPr>
                <w:rFonts w:hint="eastAsia"/>
                <w:color w:val="000000" w:themeColor="text1"/>
                <w:sz w:val="24"/>
                <w14:textFill>
                  <w14:solidFill>
                    <w14:schemeClr w14:val="tx1"/>
                  </w14:solidFill>
                </w14:textFill>
              </w:rPr>
              <w:t xml:space="preserve">风险评估与分析</w:t>
            </w:r>
            <w:r>
              <w:rPr>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④</w:t>
            </w:r>
            <w:r>
              <w:rPr>
                <w:rFonts w:hint="eastAsia"/>
                <w:color w:val="000000" w:themeColor="text1"/>
                <w:sz w:val="24"/>
                <w14:textFill>
                  <w14:solidFill>
                    <w14:schemeClr w14:val="tx1"/>
                  </w14:solidFill>
                </w14:textFill>
              </w:rPr>
              <w:t xml:space="preserve">规划文本编制</w:t>
            </w:r>
            <w:r>
              <w:rPr>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⑤</w:t>
            </w:r>
            <w:r>
              <w:rPr>
                <w:rFonts w:hint="eastAsia"/>
                <w:color w:val="000000" w:themeColor="text1"/>
                <w:sz w:val="24"/>
                <w14:textFill>
                  <w14:solidFill>
                    <w14:schemeClr w14:val="tx1"/>
                  </w14:solidFill>
                </w14:textFill>
              </w:rPr>
              <w:t xml:space="preserve">专家论证与征求意见</w:t>
            </w:r>
            <w:r>
              <w:rPr>
                <w:rFonts w:hint="eastAsia" w:ascii="宋体" w:hAnsi="宋体"/>
                <w:color w:val="000000" w:themeColor="text1"/>
                <w:sz w:val="24"/>
                <w:lang w:val="zh-CN"/>
                <w14:textFill>
                  <w14:solidFill>
                    <w14:schemeClr w14:val="tx1"/>
                  </w14:solidFill>
                </w14:textFill>
              </w:rPr>
              <w:t xml:space="preserve">进行综合评审。以上方案内容完整的得25分，每有一项内容缺失的扣5分；每有一处存在缺陷（缺陷是指不适用于本项目，表述前后不一致或内容矛盾，语句有歧义，仅有框架或标题，涉及的规范及标准错误，套用其他项目内容等任意一种情形）扣2</w:t>
            </w:r>
            <w:r>
              <w:rPr>
                <w:rFonts w:ascii="宋体" w:hAnsi="宋体"/>
                <w:color w:val="000000" w:themeColor="text1"/>
                <w:sz w:val="24"/>
                <w:lang w:val="zh-CN"/>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分，直至该项分值5分扣完为止，不提供本项不得分。</w:t>
            </w:r>
            <w:bookmarkEnd w:id="136"/>
            <w:r/>
            <w:bookmarkEnd w:id="137"/>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2、质量保障措施（12分）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投标人根据本项目第四章中“项目实施方案”第（2）条要求，提供有针对性的、科学有效的保障措施，至少包含①投标人应组织专业团队严格按要求实施；②编制详细工作计划③</w:t>
            </w:r>
            <w:r>
              <w:rPr>
                <w:rFonts w:hint="eastAsia" w:ascii="宋体" w:hAnsi="宋体"/>
                <w:color w:val="000000" w:themeColor="text1"/>
                <w:sz w:val="24"/>
                <w14:textFill>
                  <w14:solidFill>
                    <w14:schemeClr w14:val="tx1"/>
                  </w14:solidFill>
                </w14:textFill>
              </w:rPr>
              <w:t xml:space="preserve">持续沟通改进方面</w:t>
            </w:r>
            <w:r>
              <w:rPr>
                <w:rFonts w:hint="eastAsia" w:ascii="宋体" w:hAnsi="宋体" w:cs="宋体"/>
                <w:color w:val="000000" w:themeColor="text1"/>
                <w:sz w:val="24"/>
                <w:szCs w:val="21"/>
                <w14:textFill>
                  <w14:solidFill>
                    <w14:schemeClr w14:val="tx1"/>
                  </w14:solidFill>
                </w14:textFill>
              </w:rPr>
              <w:t xml:space="preserve">。以上方案内容完整的得12分，每有一项内容缺失的扣4分；每有一处存在缺陷（缺陷是指不适用于本项目，表述前后不一致或内容矛盾，语句有歧义，仅有框架或标题，涉及的规范及标准错误，套用其他项目内容等任意一种情形）扣2分，直至该项分值4分扣完为止，不提供本项不得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3、进度保障措施（12分）</w:t>
            </w:r>
            <w:r/>
          </w:p>
          <w:p>
            <w:pPr>
              <w:ind w:firstLine="48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根据本项目第四章中“项目实施方案”第（3）条要求，提供有针对性的、科学有效的进度计划及保障措施，至少包含①准备阶段；②实施阶段；③验收阶段等方面内容。以上方案内容完整的得12分，每有一项内容缺失的扣4分；每有一处存在缺陷（缺陷是指不适用于本项目，表述前后不一致或内容矛盾，语句有歧义，仅有框架或标题，涉及的规范及标准错误，套用其他项目内容等任意一种情形）扣2分，直至该项分值4分扣完为止，不提供本项不得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4、安全、保密措施（8分）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投标人根据本项目第四章中“项目实施方案”第（4）条要求，提供有针对性的、科学有效的安全、保密措施，至少包含①安全方面</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②保密方面</w:t>
            </w:r>
            <w:bookmarkStart w:id="156" w:name="_GoBack"/>
            <w:r/>
            <w:bookmarkEnd w:id="156"/>
            <w:r>
              <w:rPr>
                <w:rFonts w:hint="eastAsia" w:ascii="宋体" w:hAnsi="宋体" w:cs="宋体"/>
                <w:color w:val="000000" w:themeColor="text1"/>
                <w:sz w:val="24"/>
                <w14:textFill>
                  <w14:solidFill>
                    <w14:schemeClr w14:val="tx1"/>
                  </w14:solidFill>
                </w14:textFill>
              </w:rPr>
              <w:t xml:space="preserve">等方面内容。以上方案内容完整的得8分，每有一项内容缺失的扣4分；每有一处存在缺陷（缺陷是指不适用于本项目，表述前后不一致或内容矛盾，语句有歧义，仅有框架或标题，涉及的规范及标准错误，套用其他项目内容等任意一种情形）扣2分，直至该项分值4分扣完为止，不提供本项不得分。</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ascii="黑体" w:eastAsia="黑体"/>
          <w:color w:val="000000" w:themeColor="text1"/>
          <w:sz w:val="44"/>
          <w:szCs w:val="44"/>
          <w14:textFill>
            <w14:solidFill>
              <w14:schemeClr w14:val="tx1"/>
            </w14:solidFill>
          </w14:textFill>
        </w:rPr>
      </w:pPr>
      <w:r>
        <w:rPr>
          <w:rFonts w:ascii="黑体" w:eastAsia="黑体"/>
          <w:color w:val="000000" w:themeColor="text1"/>
          <w:sz w:val="44"/>
          <w:szCs w:val="44"/>
          <w14:textFill>
            <w14:solidFill>
              <w14:schemeClr w14:val="tx1"/>
            </w14:solidFill>
          </w14:textFill>
        </w:rPr>
        <w:br w:type="page" w:clear="all"/>
      </w:r>
      <w:r/>
    </w:p>
    <w:p>
      <w:pPr>
        <w:pStyle w:val="741"/>
        <w:jc w:val="center"/>
        <w:rPr>
          <w:rFonts w:ascii="黑体" w:eastAsia="黑体"/>
          <w:color w:val="000000" w:themeColor="text1"/>
          <w:sz w:val="44"/>
          <w:szCs w:val="44"/>
          <w14:textFill>
            <w14:solidFill>
              <w14:schemeClr w14:val="tx1"/>
            </w14:solidFill>
          </w14:textFill>
        </w:rPr>
      </w:pPr>
      <w:r>
        <w:rPr>
          <w:rFonts w:hint="eastAsia" w:ascii="黑体" w:eastAsia="黑体"/>
          <w:color w:val="000000" w:themeColor="text1"/>
          <w:sz w:val="44"/>
          <w:szCs w:val="44"/>
          <w14:textFill>
            <w14:solidFill>
              <w14:schemeClr w14:val="tx1"/>
            </w14:solidFill>
          </w14:textFill>
        </w:rPr>
        <w:t xml:space="preserve">第六章  投标文件格式</w:t>
      </w:r>
      <w:r/>
    </w:p>
    <w:p>
      <w:pPr>
        <w:jc w:val="center"/>
        <w:rPr>
          <w:rFonts w:ascii="黑体" w:hAnsi="黑体" w:eastAsia="黑体"/>
          <w:b/>
          <w:color w:val="000000" w:themeColor="text1"/>
          <w:sz w:val="72"/>
          <w:szCs w:val="21"/>
          <w14:textFill>
            <w14:solidFill>
              <w14:schemeClr w14:val="tx1"/>
            </w14:solidFill>
          </w14:textFill>
        </w:rPr>
      </w:pPr>
      <w:r>
        <w:rPr>
          <w:rFonts w:ascii="黑体" w:hAnsi="黑体" w:eastAsia="黑体"/>
          <w:b/>
          <w:color w:val="000000" w:themeColor="text1"/>
          <w:sz w:val="72"/>
          <w:szCs w:val="21"/>
          <w14:textFill>
            <w14:solidFill>
              <w14:schemeClr w14:val="tx1"/>
            </w14:solidFill>
          </w14:textFill>
        </w:rPr>
      </w:r>
      <w:r/>
    </w:p>
    <w:p>
      <w:pPr>
        <w:jc w:val="center"/>
        <w:rPr>
          <w:rFonts w:ascii="黑体" w:hAnsi="黑体" w:eastAsia="黑体"/>
          <w:b/>
          <w:color w:val="000000" w:themeColor="text1"/>
          <w:sz w:val="72"/>
          <w:szCs w:val="21"/>
          <w14:textFill>
            <w14:solidFill>
              <w14:schemeClr w14:val="tx1"/>
            </w14:solidFill>
          </w14:textFill>
        </w:rPr>
      </w:pPr>
      <w:r>
        <w:rPr>
          <w:rFonts w:hint="eastAsia" w:ascii="黑体" w:hAnsi="黑体" w:eastAsia="黑体"/>
          <w:b/>
          <w:color w:val="000000" w:themeColor="text1"/>
          <w:sz w:val="72"/>
          <w:szCs w:val="21"/>
          <w14:textFill>
            <w14:solidFill>
              <w14:schemeClr w14:val="tx1"/>
            </w14:solidFill>
          </w14:textFill>
        </w:rPr>
        <w:t xml:space="preserve">投 标 文 件</w:t>
      </w:r>
      <w:r/>
    </w:p>
    <w:p>
      <w:pPr>
        <w:pStyle w:val="967"/>
        <w:ind w:firstLine="0"/>
        <w:jc w:val="center"/>
        <w:rPr>
          <w:rFonts w:ascii="黑体" w:hAnsi="黑体" w:eastAsia="黑体"/>
          <w:b/>
          <w:bCs/>
          <w:color w:val="000000" w:themeColor="text1"/>
          <w:sz w:val="32"/>
          <w14:textFill>
            <w14:solidFill>
              <w14:schemeClr w14:val="tx1"/>
            </w14:solidFill>
          </w14:textFill>
        </w:rPr>
      </w:pPr>
      <w:r>
        <w:rPr>
          <w:rFonts w:ascii="黑体" w:hAnsi="黑体" w:eastAsia="黑体"/>
          <w:b/>
          <w:bCs/>
          <w:color w:val="000000" w:themeColor="text1"/>
          <w:sz w:val="32"/>
          <w14:textFill>
            <w14:solidFill>
              <w14:schemeClr w14:val="tx1"/>
            </w14:solidFill>
          </w14:textFill>
        </w:rPr>
      </w:r>
      <w:r/>
    </w:p>
    <w:p>
      <w:pPr>
        <w:ind w:firstLine="1084"/>
        <w:rPr>
          <w:rFonts w:ascii="黑体" w:hAnsi="黑体" w:eastAsia="黑体"/>
          <w:b/>
          <w:color w:val="000000" w:themeColor="text1"/>
          <w:sz w:val="36"/>
          <w:szCs w:val="21"/>
          <w14:textFill>
            <w14:solidFill>
              <w14:schemeClr w14:val="tx1"/>
            </w14:solidFill>
          </w14:textFill>
        </w:rPr>
      </w:pPr>
      <w:r>
        <w:rPr>
          <w:rFonts w:hint="eastAsia" w:ascii="黑体" w:hAnsi="黑体" w:eastAsia="黑体"/>
          <w:b/>
          <w:color w:val="000000" w:themeColor="text1"/>
          <w:sz w:val="36"/>
          <w:szCs w:val="21"/>
          <w14:textFill>
            <w14:solidFill>
              <w14:schemeClr w14:val="tx1"/>
            </w14:solidFill>
          </w14:textFill>
        </w:rPr>
        <w:t xml:space="preserve">           </w:t>
      </w:r>
      <w:r/>
    </w:p>
    <w:p>
      <w:pPr>
        <w:ind w:firstLine="1084"/>
        <w:rPr>
          <w:rFonts w:ascii="黑体" w:hAnsi="黑体" w:eastAsia="黑体"/>
          <w:b/>
          <w:color w:val="000000" w:themeColor="text1"/>
          <w:sz w:val="36"/>
          <w:szCs w:val="21"/>
          <w14:textFill>
            <w14:solidFill>
              <w14:schemeClr w14:val="tx1"/>
            </w14:solidFill>
          </w14:textFill>
        </w:rPr>
      </w:pPr>
      <w:r>
        <w:rPr>
          <w:rFonts w:ascii="黑体" w:hAnsi="黑体" w:eastAsia="黑体"/>
          <w:b/>
          <w:color w:val="000000" w:themeColor="text1"/>
          <w:sz w:val="36"/>
          <w:szCs w:val="21"/>
          <w14:textFill>
            <w14:solidFill>
              <w14:schemeClr w14:val="tx1"/>
            </w14:solidFill>
          </w14:textFill>
        </w:rPr>
      </w:r>
      <w:r/>
    </w:p>
    <w:p>
      <w:pPr>
        <w:ind w:firstLine="1084"/>
        <w:rPr>
          <w:rFonts w:ascii="黑体" w:hAnsi="黑体" w:eastAsia="黑体"/>
          <w:b/>
          <w:color w:val="000000" w:themeColor="text1"/>
          <w:sz w:val="36"/>
          <w:szCs w:val="21"/>
          <w14:textFill>
            <w14:solidFill>
              <w14:schemeClr w14:val="tx1"/>
            </w14:solidFill>
          </w14:textFill>
        </w:rPr>
      </w:pPr>
      <w:r>
        <w:rPr>
          <w:rFonts w:ascii="黑体" w:hAnsi="黑体" w:eastAsia="黑体"/>
          <w:b/>
          <w:color w:val="000000" w:themeColor="text1"/>
          <w:sz w:val="36"/>
          <w:szCs w:val="21"/>
          <w14:textFill>
            <w14:solidFill>
              <w14:schemeClr w14:val="tx1"/>
            </w14:solidFill>
          </w14:textFill>
        </w:rPr>
      </w:r>
      <w:r/>
    </w:p>
    <w:p>
      <w:pPr>
        <w:pStyle w:val="785"/>
        <w:ind w:firstLine="1084"/>
        <w:jc w:val="both"/>
        <w:spacing w:beforeAutospacing="0" w:afterAutospacing="0"/>
        <w:rPr>
          <w:color w:val="000000" w:themeColor="text1"/>
          <w14:textFill>
            <w14:solidFill>
              <w14:schemeClr w14:val="tx1"/>
            </w14:solidFill>
          </w14:textFill>
        </w:rPr>
      </w:pPr>
      <w:r>
        <w:rPr>
          <w:rFonts w:hint="eastAsia"/>
          <w:b/>
          <w:color w:val="000000" w:themeColor="text1"/>
          <w:sz w:val="36"/>
          <w:szCs w:val="36"/>
          <w14:textFill>
            <w14:solidFill>
              <w14:schemeClr w14:val="tx1"/>
            </w14:solidFill>
          </w14:textFill>
        </w:rPr>
        <w:t xml:space="preserve">项 目 名 称：</w:t>
      </w:r>
      <w:r>
        <w:rPr>
          <w:rFonts w:hint="eastAsia"/>
          <w:b/>
          <w:color w:val="000000" w:themeColor="text1"/>
          <w:sz w:val="36"/>
          <w:szCs w:val="36"/>
          <w:u w:val="single"/>
          <w14:textFill>
            <w14:solidFill>
              <w14:schemeClr w14:val="tx1"/>
            </w14:solidFill>
          </w14:textFill>
        </w:rPr>
        <w:t xml:space="preserve">             </w:t>
      </w:r>
      <w:r/>
    </w:p>
    <w:p>
      <w:pPr>
        <w:pStyle w:val="785"/>
        <w:ind w:firstLine="1084"/>
        <w:jc w:val="both"/>
        <w:spacing w:beforeAutospacing="0" w:afterAutospacing="0"/>
        <w:rPr>
          <w:color w:val="000000" w:themeColor="text1"/>
          <w14:textFill>
            <w14:solidFill>
              <w14:schemeClr w14:val="tx1"/>
            </w14:solidFill>
          </w14:textFill>
        </w:rPr>
      </w:pPr>
      <w:r>
        <w:rPr>
          <w:rFonts w:hint="eastAsia"/>
          <w:b/>
          <w:color w:val="000000" w:themeColor="text1"/>
          <w:sz w:val="36"/>
          <w:szCs w:val="36"/>
          <w14:textFill>
            <w14:solidFill>
              <w14:schemeClr w14:val="tx1"/>
            </w14:solidFill>
          </w14:textFill>
        </w:rPr>
        <w:t xml:space="preserve">项 目 编 号：</w:t>
      </w:r>
      <w:r>
        <w:rPr>
          <w:rFonts w:hint="eastAsia"/>
          <w:b/>
          <w:color w:val="000000" w:themeColor="text1"/>
          <w:sz w:val="36"/>
          <w:szCs w:val="36"/>
          <w:u w:val="single"/>
          <w14:textFill>
            <w14:solidFill>
              <w14:schemeClr w14:val="tx1"/>
            </w14:solidFill>
          </w14:textFill>
        </w:rPr>
        <w:t xml:space="preserve">             </w:t>
      </w:r>
      <w:r/>
    </w:p>
    <w:p>
      <w:pPr>
        <w:pStyle w:val="785"/>
        <w:jc w:val="both"/>
        <w:spacing w:beforeAutospacing="0" w:afterAutospacing="0"/>
        <w:rPr>
          <w:color w:val="000000" w:themeColor="text1"/>
          <w14:textFill>
            <w14:solidFill>
              <w14:schemeClr w14:val="tx1"/>
            </w14:solidFill>
          </w14:textFill>
        </w:rPr>
      </w:pPr>
      <w:r>
        <w:rPr>
          <w:rFonts w:hint="eastAsia"/>
          <w:b/>
          <w:color w:val="000000" w:themeColor="text1"/>
          <w:sz w:val="36"/>
          <w:szCs w:val="36"/>
          <w14:textFill>
            <w14:solidFill>
              <w14:schemeClr w14:val="tx1"/>
            </w14:solidFill>
          </w14:textFill>
        </w:rPr>
        <w:t xml:space="preserve">   投标人名称 ：</w:t>
      </w:r>
      <w:r>
        <w:rPr>
          <w:rFonts w:hint="eastAsia"/>
          <w:b/>
          <w:color w:val="000000" w:themeColor="text1"/>
          <w:sz w:val="36"/>
          <w:szCs w:val="36"/>
          <w:u w:val="single"/>
          <w14:textFill>
            <w14:solidFill>
              <w14:schemeClr w14:val="tx1"/>
            </w14:solidFill>
          </w14:textFill>
        </w:rPr>
        <w:t xml:space="preserve">（加盖CA电子公章）</w:t>
      </w:r>
      <w:r/>
    </w:p>
    <w:p>
      <w:pPr>
        <w:pStyle w:val="967"/>
        <w:ind w:firstLine="0"/>
        <w:spacing w:before="0" w:after="0"/>
        <w:rPr>
          <w:rFonts w:ascii="宋体" w:hAnsi="宋体"/>
          <w:color w:val="000000" w:themeColor="text1"/>
          <w14:textFill>
            <w14:solidFill>
              <w14:schemeClr w14:val="tx1"/>
            </w14:solidFill>
          </w14:textFill>
        </w:rPr>
      </w:pPr>
      <w:r>
        <w:rPr>
          <w:rFonts w:hint="eastAsia"/>
          <w:b/>
          <w:color w:val="000000" w:themeColor="text1"/>
          <w:sz w:val="36"/>
          <w:szCs w:val="36"/>
          <w14:textFill>
            <w14:solidFill>
              <w14:schemeClr w14:val="tx1"/>
            </w14:solidFill>
          </w14:textFill>
        </w:rPr>
        <w:t xml:space="preserve">       日   期 ：</w:t>
      </w:r>
      <w:r>
        <w:rPr>
          <w:rFonts w:hint="eastAsia"/>
          <w:b/>
          <w:color w:val="000000" w:themeColor="text1"/>
          <w:sz w:val="36"/>
          <w:szCs w:val="36"/>
          <w:u w:val="single"/>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89"/>
        <w:ind w:firstLine="600"/>
        <w:rPr>
          <w:color w:val="000000" w:themeColor="text1"/>
          <w14:textFill>
            <w14:solidFill>
              <w14:schemeClr w14:val="tx1"/>
            </w14:solidFill>
          </w14:textFill>
        </w:rPr>
      </w:pPr>
      <w:r>
        <w:rPr>
          <w:color w:val="000000" w:themeColor="text1"/>
          <w14:textFill>
            <w14:solidFill>
              <w14:schemeClr w14:val="tx1"/>
            </w14:solidFill>
          </w14:textFill>
        </w:rPr>
      </w:r>
      <w:r/>
    </w:p>
    <w:p>
      <w:pPr>
        <w:pStyle w:val="777"/>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005"/>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pStyle w:val="785"/>
        <w:jc w:val="center"/>
        <w:spacing w:beforeAutospacing="0" w:afterAutospacing="0" w:line="0" w:lineRule="atLeas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pStyle w:val="785"/>
        <w:jc w:val="center"/>
        <w:spacing w:beforeAutospacing="0" w:afterAutospacing="0" w:line="0" w:lineRule="atLeas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pStyle w:val="785"/>
        <w:jc w:val="center"/>
        <w:spacing w:beforeAutospacing="0" w:afterAutospacing="0" w:line="0" w:lineRule="atLeas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pStyle w:val="785"/>
        <w:jc w:val="center"/>
        <w:spacing w:beforeAutospacing="0" w:afterAutospacing="0" w:line="0" w:lineRule="atLeas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pStyle w:val="785"/>
        <w:jc w:val="center"/>
        <w:spacing w:beforeAutospacing="0" w:afterAutospacing="0" w:line="0" w:lineRule="atLeast"/>
        <w:rPr>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r>
      <w:r/>
    </w:p>
    <w:p>
      <w:pPr>
        <w:pStyle w:val="785"/>
        <w:jc w:val="center"/>
        <w:spacing w:beforeAutospacing="0" w:afterAutospacing="0" w:line="0" w:lineRule="atLeast"/>
        <w:rPr>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r>
      <w:r/>
    </w:p>
    <w:p>
      <w:pPr>
        <w:pStyle w:val="785"/>
        <w:jc w:val="center"/>
        <w:spacing w:beforeAutospacing="0" w:afterAutospacing="0" w:line="0" w:lineRule="atLeast"/>
        <w:rPr>
          <w:color w:val="000000" w:themeColor="text1"/>
          <w14:textFill>
            <w14:solidFill>
              <w14:schemeClr w14:val="tx1"/>
            </w14:solidFill>
          </w14:textFill>
        </w:rPr>
      </w:pPr>
      <w:r>
        <w:rPr>
          <w:rFonts w:hint="eastAsia"/>
          <w:b/>
          <w:color w:val="000000" w:themeColor="text1"/>
          <w:sz w:val="32"/>
          <w:szCs w:val="32"/>
          <w14:textFill>
            <w14:solidFill>
              <w14:schemeClr w14:val="tx1"/>
            </w14:solidFill>
          </w14:textFill>
        </w:rPr>
        <w:t xml:space="preserve">投标文件目录</w:t>
      </w:r>
      <w:r>
        <w:rPr>
          <w:color w:val="000000" w:themeColor="text1"/>
          <w14:textFill>
            <w14:solidFill>
              <w14:schemeClr w14:val="tx1"/>
            </w14:solidFill>
          </w14:textFill>
        </w:rPr>
        <w:t xml:space="preserve"> </w:t>
      </w:r>
      <w:r/>
    </w:p>
    <w:p>
      <w:pPr>
        <w:pStyle w:val="785"/>
        <w:ind w:firstLine="480"/>
        <w:spacing w:before="0" w:beforeAutospacing="0" w:after="0" w:afterAutospacing="0"/>
        <w:rPr>
          <w:iCs/>
          <w:color w:val="000000" w:themeColor="text1"/>
          <w14:textFill>
            <w14:solidFill>
              <w14:schemeClr w14:val="tx1"/>
            </w14:solidFill>
          </w14:textFill>
        </w:rPr>
      </w:pPr>
      <w:r>
        <w:rPr>
          <w:rFonts w:hint="eastAsia"/>
          <w:iCs/>
          <w:color w:val="000000" w:themeColor="text1"/>
          <w14:textFill>
            <w14:solidFill>
              <w14:schemeClr w14:val="tx1"/>
            </w14:solidFill>
          </w14:textFill>
        </w:rPr>
        <w:t xml:space="preserve">一、法人或者其他组织的营业执照等证明文件，自然人的身份证明</w:t>
      </w:r>
      <w:r/>
    </w:p>
    <w:p>
      <w:pPr>
        <w:ind w:firstLine="480"/>
        <w:jc w:val="left"/>
        <w:tabs>
          <w:tab w:val="left" w:pos="1331" w:leader="none"/>
        </w:tabs>
        <w:rPr>
          <w:iCs/>
          <w:color w:val="000000" w:themeColor="text1"/>
          <w14:textFill>
            <w14:solidFill>
              <w14:schemeClr w14:val="tx1"/>
            </w14:solidFill>
          </w14:textFill>
        </w:rPr>
      </w:pPr>
      <w:r>
        <w:rPr>
          <w:rFonts w:hint="eastAsia" w:ascii="宋体" w:hAnsi="宋体"/>
          <w:iCs/>
          <w:color w:val="000000" w:themeColor="text1"/>
          <w:sz w:val="24"/>
          <w14:textFill>
            <w14:solidFill>
              <w14:schemeClr w14:val="tx1"/>
            </w14:solidFill>
          </w14:textFill>
        </w:rPr>
        <w:t xml:space="preserve">二、上一年度的财务状况报告（至少提供资产负债表、利润表、现金流量表，投标人成立不满一年无需提供）</w:t>
      </w:r>
      <w:r/>
    </w:p>
    <w:p>
      <w:pPr>
        <w:pStyle w:val="785"/>
        <w:ind w:firstLine="480"/>
        <w:spacing w:before="0" w:beforeAutospacing="0" w:after="0" w:afterAutospacing="0"/>
        <w:rPr>
          <w:iCs/>
          <w:color w:val="000000" w:themeColor="text1"/>
          <w14:textFill>
            <w14:solidFill>
              <w14:schemeClr w14:val="tx1"/>
            </w14:solidFill>
          </w14:textFill>
        </w:rPr>
      </w:pPr>
      <w:r>
        <w:rPr>
          <w:rFonts w:hint="eastAsia"/>
          <w:iCs/>
          <w:color w:val="000000" w:themeColor="text1"/>
          <w14:textFill>
            <w14:solidFill>
              <w14:schemeClr w14:val="tx1"/>
            </w14:solidFill>
          </w14:textFill>
        </w:rPr>
        <w:t xml:space="preserve">三、具备履行合同所必需的设备和专业技术能力的书面声明</w:t>
      </w:r>
      <w:r/>
    </w:p>
    <w:p>
      <w:pPr>
        <w:pStyle w:val="785"/>
        <w:ind w:firstLine="480"/>
        <w:spacing w:before="0" w:beforeAutospacing="0" w:after="0" w:afterAutospacing="0"/>
        <w:rPr>
          <w:iCs/>
          <w:color w:val="000000" w:themeColor="text1"/>
          <w14:textFill>
            <w14:solidFill>
              <w14:schemeClr w14:val="tx1"/>
            </w14:solidFill>
          </w14:textFill>
        </w:rPr>
      </w:pPr>
      <w:r>
        <w:rPr>
          <w:rFonts w:hint="eastAsia"/>
          <w:iCs/>
          <w:color w:val="000000" w:themeColor="text1"/>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85"/>
        <w:ind w:firstLine="480"/>
        <w:spacing w:before="0" w:beforeAutospacing="0" w:after="0" w:afterAutospacing="0"/>
        <w:rPr>
          <w:iCs/>
          <w:color w:val="000000" w:themeColor="text1"/>
          <w14:textFill>
            <w14:solidFill>
              <w14:schemeClr w14:val="tx1"/>
            </w14:solidFill>
          </w14:textFill>
        </w:rPr>
      </w:pPr>
      <w:r>
        <w:rPr>
          <w:rFonts w:hint="eastAsia"/>
          <w:iCs/>
          <w:color w:val="000000" w:themeColor="text1"/>
          <w14:textFill>
            <w14:solidFill>
              <w14:schemeClr w14:val="tx1"/>
            </w14:solidFill>
          </w14:textFill>
        </w:rPr>
        <w:t xml:space="preserve">五、参加政府采购活动前 3 年内在经营活动中没有重大违法记录的书面声明</w:t>
      </w:r>
      <w:r/>
    </w:p>
    <w:p>
      <w:pPr>
        <w:pStyle w:val="785"/>
        <w:ind w:firstLine="480"/>
        <w:spacing w:before="0" w:beforeAutospacing="0" w:after="0" w:afterAutospacing="0"/>
        <w:rPr>
          <w:iCs/>
          <w:color w:val="000000" w:themeColor="text1"/>
          <w14:textFill>
            <w14:solidFill>
              <w14:schemeClr w14:val="tx1"/>
            </w14:solidFill>
          </w14:textFill>
        </w:rPr>
      </w:pPr>
      <w:r>
        <w:rPr>
          <w:rFonts w:hint="eastAsia"/>
          <w:iCs/>
          <w:color w:val="000000" w:themeColor="text1"/>
          <w14:textFill>
            <w14:solidFill>
              <w14:schemeClr w14:val="tx1"/>
            </w14:solidFill>
          </w14:textFill>
        </w:rPr>
        <w:t xml:space="preserve">六、特定资格要求的证明文件（如果本项目设置特定资格要求，则需要提供）</w:t>
      </w:r>
      <w:r/>
    </w:p>
    <w:p>
      <w:pPr>
        <w:pStyle w:val="785"/>
        <w:ind w:firstLine="480"/>
        <w:spacing w:before="0" w:beforeAutospacing="0" w:after="0" w:afterAutospacing="0"/>
        <w:rPr>
          <w:iCs/>
          <w:color w:val="000000" w:themeColor="text1"/>
          <w14:textFill>
            <w14:solidFill>
              <w14:schemeClr w14:val="tx1"/>
            </w14:solidFill>
          </w14:textFill>
        </w:rPr>
      </w:pPr>
      <w:r>
        <w:rPr>
          <w:rFonts w:hint="eastAsia"/>
          <w:iCs/>
          <w:color w:val="000000" w:themeColor="text1"/>
          <w14:textFill>
            <w14:solidFill>
              <w14:schemeClr w14:val="tx1"/>
            </w14:solidFill>
          </w14:textFill>
        </w:rPr>
        <w:t xml:space="preserve">七、法人授权书</w:t>
      </w:r>
      <w:r/>
    </w:p>
    <w:p>
      <w:pPr>
        <w:pStyle w:val="785"/>
        <w:ind w:firstLine="480"/>
        <w:spacing w:before="0" w:beforeAutospacing="0" w:after="0" w:afterAutospacing="0"/>
        <w:rPr>
          <w:iCs/>
          <w:color w:val="000000" w:themeColor="text1"/>
          <w14:textFill>
            <w14:solidFill>
              <w14:schemeClr w14:val="tx1"/>
            </w14:solidFill>
          </w14:textFill>
        </w:rPr>
      </w:pPr>
      <w:r>
        <w:rPr>
          <w:rFonts w:hint="eastAsia"/>
          <w:iCs/>
          <w:color w:val="000000" w:themeColor="text1"/>
          <w14:textFill>
            <w14:solidFill>
              <w14:schemeClr w14:val="tx1"/>
            </w14:solidFill>
          </w14:textFill>
        </w:rPr>
        <w:t xml:space="preserve">八、投标函</w:t>
      </w:r>
      <w:r/>
    </w:p>
    <w:p>
      <w:pPr>
        <w:pStyle w:val="785"/>
        <w:ind w:firstLine="480"/>
        <w:spacing w:before="0" w:beforeAutospacing="0" w:after="0" w:afterAutospacing="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九、</w:t>
      </w:r>
      <w:r>
        <w:rPr>
          <w:rFonts w:hint="eastAsia" w:cs="宋体"/>
          <w:iCs/>
          <w:color w:val="000000" w:themeColor="text1"/>
          <w14:textFill>
            <w14:solidFill>
              <w14:schemeClr w14:val="tx1"/>
            </w14:solidFill>
          </w14:textFill>
        </w:rPr>
        <w:t xml:space="preserve">中小企业声明函</w:t>
      </w:r>
      <w:r/>
    </w:p>
    <w:p>
      <w:pPr>
        <w:pStyle w:val="785"/>
        <w:ind w:firstLine="480"/>
        <w:spacing w:before="0" w:beforeAutospacing="0" w:after="0" w:afterAutospacing="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十、残疾人福利性单位声明函</w:t>
      </w:r>
      <w:r/>
    </w:p>
    <w:p>
      <w:pPr>
        <w:pStyle w:val="785"/>
        <w:ind w:firstLine="480"/>
        <w:spacing w:before="0" w:beforeAutospacing="0" w:after="0" w:afterAutospacing="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十一、投标分项报价表</w:t>
      </w:r>
      <w:r/>
    </w:p>
    <w:p>
      <w:pPr>
        <w:pStyle w:val="785"/>
        <w:ind w:firstLine="480"/>
        <w:spacing w:before="0" w:beforeAutospacing="0" w:after="0" w:afterAutospacing="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十二、技术要求响应及偏离表</w:t>
      </w:r>
      <w:r/>
    </w:p>
    <w:p>
      <w:pPr>
        <w:pStyle w:val="785"/>
        <w:ind w:firstLine="480"/>
        <w:spacing w:before="0" w:beforeAutospacing="0" w:after="0" w:afterAutospacing="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十三、商务要求响应及偏离表</w:t>
      </w:r>
      <w:r/>
    </w:p>
    <w:p>
      <w:pPr>
        <w:pStyle w:val="785"/>
        <w:ind w:firstLine="480"/>
        <w:spacing w:before="0" w:beforeAutospacing="0" w:after="0" w:afterAutospacing="0"/>
        <w:rPr>
          <w:iCs/>
          <w:color w:val="000000" w:themeColor="text1"/>
          <w14:textFill>
            <w14:solidFill>
              <w14:schemeClr w14:val="tx1"/>
            </w14:solidFill>
          </w14:textFill>
        </w:rPr>
      </w:pPr>
      <w:r>
        <w:rPr>
          <w:rFonts w:hint="eastAsia"/>
          <w:iCs/>
          <w:color w:val="000000" w:themeColor="text1"/>
          <w14:textFill>
            <w14:solidFill>
              <w14:schemeClr w14:val="tx1"/>
            </w14:solidFill>
          </w14:textFill>
        </w:rPr>
        <w:t xml:space="preserve">十四、开标一览表</w:t>
      </w:r>
      <w:r/>
    </w:p>
    <w:p>
      <w:pPr>
        <w:ind w:firstLine="480"/>
        <w:jc w:val="lef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十五、技术方案等</w:t>
      </w:r>
      <w:r/>
    </w:p>
    <w:p>
      <w:pPr>
        <w:pStyle w:val="785"/>
        <w:ind w:firstLine="480"/>
        <w:spacing w:before="0" w:beforeAutospacing="0" w:after="0" w:afterAutospacing="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十六、盐城市政府采购事前信用承诺书</w:t>
      </w:r>
      <w:r/>
    </w:p>
    <w:p>
      <w:pPr>
        <w:pStyle w:val="785"/>
        <w:ind w:firstLine="480"/>
        <w:spacing w:before="0" w:beforeAutospacing="0" w:after="0" w:afterAutospacing="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十七、人员配备一览表</w:t>
      </w:r>
      <w:r/>
    </w:p>
    <w:p>
      <w:pPr>
        <w:pStyle w:val="785"/>
        <w:ind w:firstLine="480"/>
        <w:spacing w:before="0" w:beforeAutospacing="0" w:after="0" w:afterAutospacing="0"/>
        <w:rPr>
          <w:color w:val="000000" w:themeColor="text1"/>
          <w14:textFill>
            <w14:solidFill>
              <w14:schemeClr w14:val="tx1"/>
            </w14:solidFill>
          </w14:textFill>
        </w:rPr>
      </w:pPr>
      <w:r/>
      <w:bookmarkStart w:id="138" w:name="_Toc120614284"/>
      <w:r/>
      <w:bookmarkStart w:id="139" w:name="_Toc23828483"/>
      <w:r/>
      <w:bookmarkStart w:id="140" w:name="_Toc22356583"/>
      <w:r/>
      <w:bookmarkStart w:id="141" w:name="_Toc49090582"/>
      <w:r/>
      <w:bookmarkStart w:id="142" w:name="_Toc26554103"/>
      <w:r/>
      <w:bookmarkStart w:id="143" w:name="_Toc24878535"/>
      <w:r/>
      <w:bookmarkStart w:id="144" w:name="_Toc120614291"/>
      <w:r/>
      <w:bookmarkStart w:id="145" w:name="_Toc513029281"/>
      <w:r>
        <w:rPr>
          <w:rFonts w:hint="eastAsia"/>
          <w:color w:val="000000" w:themeColor="text1"/>
          <w14:textFill>
            <w14:solidFill>
              <w14:schemeClr w14:val="tx1"/>
            </w14:solidFill>
          </w14:textFill>
        </w:rPr>
        <w:t xml:space="preserve">十八、招标文件中规定要求提供的其他证明材料和投标人认为需要提供的其他材料</w:t>
      </w:r>
      <w:r>
        <w:rPr>
          <w:color w:val="000000" w:themeColor="text1"/>
          <w14:textFill>
            <w14:solidFill>
              <w14:schemeClr w14:val="tx1"/>
            </w14:solidFill>
          </w14:textFill>
        </w:rPr>
        <w:t xml:space="preserve"> </w:t>
      </w:r>
      <w:r/>
    </w:p>
    <w:p>
      <w:pPr>
        <w:pStyle w:val="785"/>
        <w:ind w:firstLine="482"/>
        <w:spacing w:before="0" w:beforeAutospacing="0" w:after="0" w:afterAutospacing="0"/>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注：如招标文件中提供的格式与苏采云系统中的格式不一致的，以苏采云系统中的格式为准。</w:t>
      </w:r>
      <w:r/>
    </w:p>
    <w:p>
      <w:pPr>
        <w:pStyle w:val="785"/>
        <w:ind w:firstLine="482"/>
        <w:spacing w:before="0" w:beforeAutospacing="0" w:after="0" w:afterAutospacing="0"/>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785"/>
        <w:ind w:firstLine="482"/>
        <w:spacing w:before="0" w:beforeAutospacing="0" w:after="0" w:afterAutospacing="0"/>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785"/>
        <w:ind w:firstLine="482"/>
        <w:spacing w:before="0" w:beforeAutospacing="0" w:after="0" w:afterAutospacing="0"/>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785"/>
        <w:ind w:firstLine="482"/>
        <w:spacing w:before="0" w:beforeAutospacing="0" w:after="0" w:afterAutospacing="0"/>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785"/>
        <w:ind w:firstLine="482"/>
        <w:spacing w:before="0" w:beforeAutospacing="0" w:after="0" w:afterAutospacing="0"/>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785"/>
        <w:ind w:firstLine="482"/>
        <w:spacing w:before="0" w:beforeAutospacing="0" w:after="0" w:afterAutospacing="0"/>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785"/>
        <w:ind w:firstLine="482"/>
        <w:spacing w:before="0" w:beforeAutospacing="0" w:after="0" w:afterAutospacing="0"/>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785"/>
        <w:ind w:firstLine="482"/>
        <w:spacing w:before="0" w:beforeAutospacing="0" w:after="0" w:afterAutospacing="0"/>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785"/>
        <w:ind w:firstLine="482"/>
        <w:spacing w:before="0" w:beforeAutospacing="0" w:after="0" w:afterAutospacing="0"/>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785"/>
        <w:ind w:firstLine="482"/>
        <w:spacing w:before="0" w:beforeAutospacing="0" w:after="0" w:afterAutospacing="0"/>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785"/>
        <w:ind w:firstLine="482"/>
        <w:spacing w:before="0" w:beforeAutospacing="0" w:after="0" w:afterAutospacing="0"/>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785"/>
        <w:ind w:firstLine="482"/>
        <w:spacing w:before="0" w:beforeAutospacing="0" w:after="0" w:afterAutospacing="0"/>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785"/>
        <w:ind w:firstLine="482"/>
        <w:spacing w:before="0" w:beforeAutospacing="0" w:after="0" w:afterAutospacing="0"/>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785"/>
        <w:ind w:firstLine="482"/>
        <w:spacing w:before="0" w:beforeAutospacing="0" w:after="0" w:afterAutospacing="0"/>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785"/>
        <w:ind w:firstLine="482"/>
        <w:spacing w:before="0" w:beforeAutospacing="0" w:after="0" w:afterAutospacing="0"/>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785"/>
        <w:ind w:firstLine="482"/>
        <w:spacing w:before="0" w:beforeAutospacing="0" w:after="0" w:afterAutospacing="0"/>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785"/>
        <w:ind w:firstLine="482"/>
        <w:spacing w:before="0" w:beforeAutospacing="0" w:after="0" w:afterAutospacing="0"/>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785"/>
        <w:ind w:firstLine="482"/>
        <w:spacing w:before="0" w:beforeAutospacing="0" w:after="0" w:afterAutospacing="0"/>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785"/>
        <w:ind w:firstLine="482"/>
        <w:spacing w:before="0" w:beforeAutospacing="0" w:after="0" w:afterAutospacing="0"/>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785"/>
        <w:jc w:val="both"/>
        <w:spacing w:beforeAutospacing="0" w:afterAutospacing="0"/>
        <w:rPr>
          <w:rFonts w:ascii="黑体" w:eastAsia="黑体" w:cs="黑体"/>
          <w:i/>
          <w:color w:val="000000" w:themeColor="text1"/>
          <w:sz w:val="32"/>
          <w:szCs w:val="32"/>
          <w:u w:val="single"/>
          <w14:textFill>
            <w14:solidFill>
              <w14:schemeClr w14:val="tx1"/>
            </w14:solidFill>
          </w14:textFill>
        </w:rPr>
      </w:pPr>
      <w:r>
        <w:rPr>
          <w:rFonts w:ascii="黑体" w:eastAsia="黑体" w:cs="黑体"/>
          <w:i/>
          <w:color w:val="000000" w:themeColor="text1"/>
          <w:sz w:val="32"/>
          <w:szCs w:val="32"/>
          <w:u w:val="single"/>
          <w14:textFill>
            <w14:solidFill>
              <w14:schemeClr w14:val="tx1"/>
            </w14:solidFill>
          </w14:textFill>
        </w:rPr>
      </w:r>
      <w:r/>
    </w:p>
    <w:p>
      <w:pPr>
        <w:pStyle w:val="785"/>
        <w:jc w:val="both"/>
        <w:spacing w:beforeAutospacing="0" w:afterAutospacing="0"/>
        <w:rPr>
          <w:rFonts w:ascii="黑体" w:eastAsia="黑体" w:cs="黑体"/>
          <w:i/>
          <w:color w:val="000000" w:themeColor="text1"/>
          <w:sz w:val="32"/>
          <w:szCs w:val="32"/>
          <w:u w:val="single"/>
          <w14:textFill>
            <w14:solidFill>
              <w14:schemeClr w14:val="tx1"/>
            </w14:solidFill>
          </w14:textFill>
        </w:rPr>
      </w:pPr>
      <w:r>
        <w:rPr>
          <w:rFonts w:ascii="黑体" w:eastAsia="黑体" w:cs="黑体"/>
          <w:i/>
          <w:color w:val="000000" w:themeColor="text1"/>
          <w:sz w:val="32"/>
          <w:szCs w:val="32"/>
          <w:u w:val="single"/>
          <w14:textFill>
            <w14:solidFill>
              <w14:schemeClr w14:val="tx1"/>
            </w14:solidFill>
          </w14:textFill>
        </w:rPr>
      </w:r>
      <w:r/>
    </w:p>
    <w:p>
      <w:pPr>
        <w:pStyle w:val="785"/>
        <w:jc w:val="both"/>
        <w:spacing w:beforeAutospacing="0" w:afterAutospacing="0"/>
        <w:rPr>
          <w:rFonts w:ascii="黑体" w:eastAsia="黑体" w:cs="黑体"/>
          <w:i/>
          <w:color w:val="000000" w:themeColor="text1"/>
          <w:sz w:val="32"/>
          <w:szCs w:val="32"/>
          <w:u w:val="single"/>
          <w14:textFill>
            <w14:solidFill>
              <w14:schemeClr w14:val="tx1"/>
            </w14:solidFill>
          </w14:textFill>
        </w:rPr>
      </w:pPr>
      <w:r>
        <w:rPr>
          <w:rFonts w:hint="eastAsia" w:ascii="黑体" w:eastAsia="黑体" w:cs="黑体"/>
          <w:i/>
          <w:color w:val="000000" w:themeColor="text1"/>
          <w:sz w:val="32"/>
          <w:szCs w:val="32"/>
          <w:u w:val="single"/>
          <w14:textFill>
            <w14:solidFill>
              <w14:schemeClr w14:val="tx1"/>
            </w14:solidFill>
          </w14:textFill>
        </w:rPr>
        <w:t xml:space="preserve">一、法人或者其他组织的营业执照等证明文件，自然人的身份证明</w:t>
      </w:r>
      <w:r/>
    </w:p>
    <w:p>
      <w:pPr>
        <w:pStyle w:val="785"/>
        <w:jc w:val="both"/>
        <w:spacing w:beforeAutospacing="0" w:afterAutospacing="0"/>
        <w:rPr>
          <w:rFonts w:ascii="黑体" w:eastAsia="黑体" w:cs="黑体"/>
          <w:i/>
          <w:color w:val="000000" w:themeColor="text1"/>
          <w:sz w:val="32"/>
          <w:szCs w:val="32"/>
          <w:u w:val="single"/>
          <w14:textFill>
            <w14:solidFill>
              <w14:schemeClr w14:val="tx1"/>
            </w14:solidFill>
          </w14:textFill>
        </w:rPr>
      </w:pPr>
      <w:r>
        <w:rPr>
          <w:rFonts w:ascii="黑体" w:eastAsia="黑体" w:cs="黑体"/>
          <w:i/>
          <w:color w:val="000000" w:themeColor="text1"/>
          <w:sz w:val="32"/>
          <w:szCs w:val="32"/>
          <w:u w:val="single"/>
          <w14:textFill>
            <w14:solidFill>
              <w14:schemeClr w14:val="tx1"/>
            </w14:solidFill>
          </w14:textFill>
        </w:rPr>
      </w:r>
      <w:r/>
    </w:p>
    <w:p>
      <w:pPr>
        <w:pStyle w:val="785"/>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pStyle w:val="785"/>
        <w:ind w:firstLine="480"/>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785"/>
        <w:jc w:val="both"/>
        <w:spacing w:beforeAutospacing="0" w:afterAutospacing="0"/>
        <w:rPr>
          <w:rFonts w:eastAsia="黑体"/>
          <w:color w:val="000000" w:themeColor="text1"/>
          <w14:textFill>
            <w14:solidFill>
              <w14:schemeClr w14:val="tx1"/>
            </w14:solidFill>
          </w14:textFill>
        </w:rPr>
      </w:pPr>
      <w:r>
        <w:rPr>
          <w:rFonts w:hint="eastAsia" w:ascii="黑体" w:eastAsia="黑体" w:cs="黑体"/>
          <w:i/>
          <w:color w:val="000000" w:themeColor="text1"/>
          <w:sz w:val="32"/>
          <w:szCs w:val="32"/>
          <w:u w:val="single"/>
          <w14:textFill>
            <w14:solidFill>
              <w14:schemeClr w14:val="tx1"/>
            </w14:solidFill>
          </w14:textFill>
        </w:rPr>
        <w:t xml:space="preserve">二、上一年度的财务状况报表</w:t>
      </w:r>
      <w:r/>
    </w:p>
    <w:p>
      <w:pPr>
        <w:pStyle w:val="785"/>
        <w:ind w:firstLine="480"/>
        <w:jc w:val="both"/>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投标人成立不满一年无需提供</w:t>
      </w:r>
      <w:r/>
    </w:p>
    <w:p>
      <w:pPr>
        <w:pStyle w:val="785"/>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1005"/>
        <w:ind w:firstLine="420"/>
        <w:rPr>
          <w:color w:val="000000" w:themeColor="text1"/>
          <w:sz w:val="24"/>
          <w:szCs w:val="24"/>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785"/>
        <w:jc w:val="both"/>
        <w:spacing w:beforeAutospacing="0" w:afterAutospacing="0"/>
        <w:rPr>
          <w:color w:val="000000" w:themeColor="text1"/>
          <w14:textFill>
            <w14:solidFill>
              <w14:schemeClr w14:val="tx1"/>
            </w14:solidFill>
          </w14:textFill>
        </w:rPr>
      </w:pPr>
      <w:r>
        <w:rPr>
          <w:rFonts w:hint="eastAsia" w:ascii="黑体" w:eastAsia="黑体" w:cs="黑体"/>
          <w:i/>
          <w:color w:val="000000" w:themeColor="text1"/>
          <w:sz w:val="32"/>
          <w:szCs w:val="32"/>
          <w:u w:val="single"/>
          <w14:textFill>
            <w14:solidFill>
              <w14:schemeClr w14:val="tx1"/>
            </w14:solidFill>
          </w14:textFill>
        </w:rPr>
        <w:t xml:space="preserve">三、具备履行合同所必需的设备和专业技术能力的书面声明</w:t>
      </w:r>
      <w:r/>
    </w:p>
    <w:p>
      <w:pPr>
        <w:pStyle w:val="785"/>
        <w:ind w:firstLine="492"/>
        <w:jc w:val="both"/>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785"/>
        <w:ind w:firstLine="492"/>
        <w:jc w:val="both"/>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主要设备有：</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w:t>
      </w:r>
      <w:r/>
    </w:p>
    <w:p>
      <w:pPr>
        <w:pStyle w:val="785"/>
        <w:ind w:firstLine="480"/>
        <w:jc w:val="both"/>
        <w:spacing w:beforeAutospacing="0" w:afterAutospacing="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主要专业技术能力有：</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w:t>
      </w:r>
      <w:r/>
    </w:p>
    <w:p>
      <w:pPr>
        <w:pStyle w:val="785"/>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ascii="宋体" w:hAnsi="宋体"/>
          <w:color w:val="000000" w:themeColor="text1"/>
          <w:sz w:val="24"/>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785"/>
        <w:jc w:val="both"/>
        <w:spacing w:beforeAutospacing="0" w:afterAutospacing="0"/>
        <w:rPr>
          <w:color w:val="000000" w:themeColor="text1"/>
          <w14:textFill>
            <w14:solidFill>
              <w14:schemeClr w14:val="tx1"/>
            </w14:solidFill>
          </w14:textFill>
        </w:rPr>
      </w:pPr>
      <w:r>
        <w:rPr>
          <w:rFonts w:hint="eastAsia" w:ascii="黑体" w:eastAsia="黑体" w:cs="黑体"/>
          <w:i/>
          <w:color w:val="000000" w:themeColor="text1"/>
          <w:sz w:val="32"/>
          <w:szCs w:val="32"/>
          <w:u w:val="single"/>
          <w14:textFill>
            <w14:solidFill>
              <w14:schemeClr w14:val="tx1"/>
            </w14:solidFill>
          </w14:textFill>
        </w:rPr>
        <w:t xml:space="preserve">四、依法缴纳税收和社会保障资金的相关材料</w:t>
      </w:r>
      <w:r/>
    </w:p>
    <w:p>
      <w:pPr>
        <w:pStyle w:val="785"/>
        <w:ind w:firstLine="480"/>
        <w:jc w:val="both"/>
        <w:spacing w:beforeAutospacing="0" w:afterAutospacing="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r/>
    </w:p>
    <w:p>
      <w:pPr>
        <w:pStyle w:val="785"/>
        <w:ind w:firstLine="480"/>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ascii="宋体" w:hAnsi="宋体"/>
          <w:color w:val="000000" w:themeColor="text1"/>
          <w:sz w:val="24"/>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785"/>
        <w:jc w:val="both"/>
        <w:spacing w:beforeAutospacing="0" w:afterAutospacing="0"/>
        <w:rPr>
          <w:color w:val="000000" w:themeColor="text1"/>
          <w14:textFill>
            <w14:solidFill>
              <w14:schemeClr w14:val="tx1"/>
            </w14:solidFill>
          </w14:textFill>
        </w:rPr>
      </w:pPr>
      <w:r>
        <w:rPr>
          <w:rFonts w:hint="eastAsia" w:ascii="黑体" w:eastAsia="黑体" w:cs="黑体"/>
          <w:i/>
          <w:color w:val="000000" w:themeColor="text1"/>
          <w:sz w:val="32"/>
          <w:szCs w:val="32"/>
          <w:u w:val="single"/>
          <w14:textFill>
            <w14:solidFill>
              <w14:schemeClr w14:val="tx1"/>
            </w14:solidFill>
          </w14:textFill>
        </w:rPr>
        <w:t xml:space="preserve">五、参加政府采购活动前 3 年内在经营活动中没有重大违法记录的书面声明</w:t>
      </w:r>
      <w:r/>
    </w:p>
    <w:p>
      <w:pPr>
        <w:pStyle w:val="785"/>
        <w:jc w:val="both"/>
        <w:spacing w:beforeAutospacing="0" w:afterAutospacing="0" w:line="0" w:lineRule="atLeast"/>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 xml:space="preserve">                </w:t>
      </w:r>
      <w:r/>
    </w:p>
    <w:p>
      <w:pPr>
        <w:pStyle w:val="785"/>
        <w:ind w:firstLine="3092"/>
        <w:jc w:val="both"/>
        <w:spacing w:beforeAutospacing="0" w:afterAutospacing="0" w:line="0" w:lineRule="atLeast"/>
        <w:rPr>
          <w:color w:val="000000" w:themeColor="text1"/>
          <w14:textFill>
            <w14:solidFill>
              <w14:schemeClr w14:val="tx1"/>
            </w14:solidFill>
          </w14:textFill>
        </w:rPr>
      </w:pPr>
      <w:r>
        <w:rPr>
          <w:rFonts w:hint="eastAsia"/>
          <w:b/>
          <w:color w:val="000000" w:themeColor="text1"/>
          <w:sz w:val="44"/>
          <w:szCs w:val="44"/>
          <w14:textFill>
            <w14:solidFill>
              <w14:schemeClr w14:val="tx1"/>
            </w14:solidFill>
          </w14:textFill>
        </w:rPr>
        <w:t xml:space="preserve">   声  明</w:t>
      </w:r>
      <w:r/>
    </w:p>
    <w:p>
      <w:pPr>
        <w:pStyle w:val="785"/>
        <w:jc w:val="both"/>
        <w:spacing w:beforeAutospacing="0" w:afterAutospacing="0" w:line="0" w:lineRule="atLeast"/>
        <w:rPr>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785"/>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785"/>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ascii="宋体" w:hAnsi="宋体"/>
          <w:color w:val="000000" w:themeColor="text1"/>
          <w:sz w:val="24"/>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785"/>
        <w:jc w:val="both"/>
        <w:spacing w:beforeAutospacing="0" w:afterAutospacing="0"/>
        <w:rPr>
          <w:color w:val="000000" w:themeColor="text1"/>
          <w14:textFill>
            <w14:solidFill>
              <w14:schemeClr w14:val="tx1"/>
            </w14:solidFill>
          </w14:textFill>
        </w:rPr>
      </w:pPr>
      <w:r>
        <w:rPr>
          <w:rFonts w:hint="eastAsia" w:ascii="黑体" w:eastAsia="黑体" w:cs="黑体"/>
          <w:i/>
          <w:color w:val="000000" w:themeColor="text1"/>
          <w:sz w:val="32"/>
          <w:szCs w:val="32"/>
          <w:u w:val="single"/>
          <w14:textFill>
            <w14:solidFill>
              <w14:schemeClr w14:val="tx1"/>
            </w14:solidFill>
          </w14:textFill>
        </w:rPr>
        <w:t xml:space="preserve">六、特定资格要求的证明文件</w:t>
      </w:r>
      <w:r/>
    </w:p>
    <w:p>
      <w:pPr>
        <w:pStyle w:val="785"/>
        <w:jc w:val="both"/>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如果本项目申请人的特定资格要求中要求提供的，必须提供。</w:t>
      </w:r>
      <w:r/>
    </w:p>
    <w:p>
      <w:pPr>
        <w:jc w:val="left"/>
        <w:widowControl/>
        <w:rPr>
          <w:rFonts w:ascii="宋体" w:hAnsi="宋体"/>
          <w:color w:val="000000" w:themeColor="text1"/>
          <w:sz w:val="24"/>
          <w14:textFill>
            <w14:solidFill>
              <w14:schemeClr w14:val="tx1"/>
            </w14:solidFill>
          </w14:textFill>
        </w:rPr>
      </w:pPr>
      <w:r>
        <w:rPr>
          <w:color w:val="000000" w:themeColor="text1"/>
          <w14:textFill>
            <w14:solidFill>
              <w14:schemeClr w14:val="tx1"/>
            </w14:solidFill>
          </w14:textFill>
        </w:rPr>
        <w:br w:type="page" w:clear="all"/>
      </w:r>
      <w:r/>
    </w:p>
    <w:p>
      <w:pPr>
        <w:pStyle w:val="785"/>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785"/>
        <w:jc w:val="center"/>
        <w:spacing w:beforeAutospacing="0" w:afterAutospacing="0"/>
        <w:rPr>
          <w:iCs/>
          <w:color w:val="000000" w:themeColor="text1"/>
          <w14:textFill>
            <w14:solidFill>
              <w14:schemeClr w14:val="tx1"/>
            </w14:solidFill>
          </w14:textFill>
        </w:rPr>
      </w:pPr>
      <w:r>
        <w:rPr>
          <w:rFonts w:hint="eastAsia" w:ascii="黑体" w:eastAsia="黑体" w:cs="黑体"/>
          <w:iCs/>
          <w:color w:val="000000" w:themeColor="text1"/>
          <w:sz w:val="32"/>
          <w:szCs w:val="32"/>
          <w:u w:val="single"/>
          <w14:textFill>
            <w14:solidFill>
              <w14:schemeClr w14:val="tx1"/>
            </w14:solidFill>
          </w14:textFill>
        </w:rPr>
        <w:t xml:space="preserve">七、法人授权书</w:t>
      </w:r>
      <w:r/>
    </w:p>
    <w:p>
      <w:pPr>
        <w:pStyle w:val="785"/>
        <w:ind w:firstLine="480"/>
        <w:jc w:val="both"/>
        <w:spacing w:beforeAutospacing="0" w:afterAutospacing="0"/>
        <w:tabs>
          <w:tab w:val="left" w:pos="360" w:leader="none"/>
        </w:tabs>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本授权书声明：____________（投标人名称）授权________________（被授权人的姓名）为我方就JSZC-</w:t>
      </w:r>
      <w:r>
        <w:rPr>
          <w:rFonts w:ascii="Times New Roman" w:hAnsi="Times New Roman"/>
          <w:color w:val="000000" w:themeColor="text1"/>
          <w:u w:val="single"/>
          <w14:textFill>
            <w14:solidFill>
              <w14:schemeClr w14:val="tx1"/>
            </w14:solidFill>
          </w14:textFill>
        </w:rPr>
        <w:t xml:space="preserve">        </w:t>
      </w:r>
      <w:r>
        <w:rPr>
          <w:rFonts w:ascii="Times New Roman" w:hAnsi="Times New Roman"/>
          <w:color w:val="000000" w:themeColor="text1"/>
          <w14:textFill>
            <w14:solidFill>
              <w14:schemeClr w14:val="tx1"/>
            </w14:solidFill>
          </w14:textFill>
        </w:rPr>
        <w:t xml:space="preserve">号项目采购活动的合法代理人，以本单位名义全权处理一切与该项目采购有关的事务。</w:t>
      </w:r>
      <w:r/>
    </w:p>
    <w:p>
      <w:pPr>
        <w:pStyle w:val="785"/>
        <w:ind w:firstLine="480"/>
        <w:jc w:val="both"/>
        <w:spacing w:beforeAutospacing="0" w:afterAutospacing="0"/>
        <w:tabs>
          <w:tab w:val="left" w:pos="360" w:leader="none"/>
        </w:tabs>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本授权书于______年____月____日起生效，特此声明。</w:t>
      </w:r>
      <w:r/>
    </w:p>
    <w:p>
      <w:pPr>
        <w:pStyle w:val="785"/>
        <w:jc w:val="both"/>
        <w:spacing w:beforeAutospacing="0" w:afterAutospacing="0"/>
        <w:tabs>
          <w:tab w:val="left" w:pos="360" w:leader="none"/>
        </w:tabs>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被授权人身份证号码：</w:t>
      </w:r>
      <w:r>
        <w:rPr>
          <w:rFonts w:ascii="Times New Roman" w:hAnsi="Times New Roman"/>
          <w:color w:val="000000" w:themeColor="text1"/>
          <w:u w:val="single"/>
          <w14:textFill>
            <w14:solidFill>
              <w14:schemeClr w14:val="tx1"/>
            </w14:solidFill>
          </w14:textFill>
        </w:rPr>
        <w:t xml:space="preserve">                              </w:t>
      </w:r>
      <w:r/>
    </w:p>
    <w:p>
      <w:pPr>
        <w:pStyle w:val="785"/>
        <w:jc w:val="both"/>
        <w:spacing w:beforeAutospacing="0" w:afterAutospacing="0"/>
        <w:tabs>
          <w:tab w:val="left" w:pos="360" w:leader="none"/>
        </w:tabs>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被授权人联系电话：（手机）</w:t>
      </w:r>
      <w:r>
        <w:rPr>
          <w:rFonts w:ascii="Times New Roman" w:hAnsi="Times New Roman"/>
          <w:color w:val="000000" w:themeColor="text1"/>
          <w:u w:val="single"/>
          <w14:textFill>
            <w14:solidFill>
              <w14:schemeClr w14:val="tx1"/>
            </w14:solidFill>
          </w14:textFill>
        </w:rPr>
        <w:t xml:space="preserve">                          </w:t>
      </w:r>
      <w:r/>
    </w:p>
    <w:p>
      <w:pPr>
        <w:pStyle w:val="785"/>
        <w:ind w:firstLine="720"/>
        <w:jc w:val="both"/>
        <w:spacing w:beforeAutospacing="0" w:afterAutospacing="0"/>
        <w:tabs>
          <w:tab w:val="left" w:pos="360" w:leader="none"/>
        </w:tabs>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授权单位名称：</w:t>
      </w:r>
      <w:r>
        <w:rPr>
          <w:rFonts w:ascii="Times New Roman" w:hAnsi="Times New Roman"/>
          <w:color w:val="000000" w:themeColor="text1"/>
          <w:u w:val="single"/>
          <w14:textFill>
            <w14:solidFill>
              <w14:schemeClr w14:val="tx1"/>
            </w14:solidFill>
          </w14:textFill>
        </w:rPr>
        <w:t xml:space="preserve">（加盖CA电子公章）</w:t>
      </w:r>
      <w:r/>
    </w:p>
    <w:p>
      <w:pPr>
        <w:pStyle w:val="785"/>
        <w:ind w:firstLine="480"/>
        <w:jc w:val="both"/>
        <w:spacing w:beforeAutospacing="0" w:afterAutospacing="0"/>
        <w:tabs>
          <w:tab w:val="left" w:pos="360" w:leader="none"/>
        </w:tabs>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    单位地址：</w:t>
      </w:r>
      <w:r>
        <w:rPr>
          <w:rFonts w:ascii="Times New Roman" w:hAnsi="Times New Roman"/>
          <w:color w:val="000000" w:themeColor="text1"/>
          <w:u w:val="single"/>
          <w14:textFill>
            <w14:solidFill>
              <w14:schemeClr w14:val="tx1"/>
            </w14:solidFill>
          </w14:textFill>
        </w:rPr>
        <w:t xml:space="preserve">                                         </w:t>
      </w:r>
      <w:r/>
    </w:p>
    <w:p>
      <w:pPr>
        <w:pStyle w:val="785"/>
        <w:ind w:firstLine="720"/>
        <w:jc w:val="both"/>
        <w:spacing w:beforeAutospacing="0" w:afterAutospacing="0"/>
        <w:tabs>
          <w:tab w:val="left" w:pos="360" w:leader="none"/>
        </w:tabs>
        <w:rPr>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日期：</w:t>
      </w:r>
      <w:r>
        <w:rPr>
          <w:rFonts w:ascii="Times New Roman" w:hAnsi="Times New Roman"/>
          <w:color w:val="000000" w:themeColor="text1"/>
          <w:u w:val="single"/>
          <w14:textFill>
            <w14:solidFill>
              <w14:schemeClr w14:val="tx1"/>
            </w14:solidFill>
          </w14:textFill>
        </w:rPr>
        <w:t xml:space="preserve">                                         </w:t>
      </w:r>
      <w:r/>
    </w:p>
    <w:p>
      <w:pPr>
        <w:pStyle w:val="785"/>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ascii="宋体" w:hAnsi="宋体"/>
          <w:color w:val="000000" w:themeColor="text1"/>
          <w:sz w:val="24"/>
          <w14:textFill>
            <w14:solidFill>
              <w14:schemeClr w14:val="tx1"/>
            </w14:solidFill>
          </w14:textFill>
        </w:rPr>
      </w:pPr>
      <w:r>
        <w:rPr>
          <w:color w:val="000000" w:themeColor="text1"/>
          <w14:textFill>
            <w14:solidFill>
              <w14:schemeClr w14:val="tx1"/>
            </w14:solidFill>
          </w14:textFill>
        </w:rPr>
        <w:br w:type="page" w:clear="all"/>
      </w:r>
      <w:r/>
    </w:p>
    <w:p>
      <w:pPr>
        <w:pStyle w:val="785"/>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r>
      <w:r/>
    </w:p>
    <w:p>
      <w:pPr>
        <w:pStyle w:val="785"/>
        <w:ind w:firstLine="3390"/>
        <w:jc w:val="both"/>
        <w:keepLines/>
        <w:keepNext/>
        <w:spacing w:before="260" w:beforeAutospacing="0" w:after="260" w:afterAutospacing="0" w:line="415" w:lineRule="auto"/>
        <w:rPr>
          <w:iCs/>
          <w:color w:val="000000" w:themeColor="text1"/>
          <w14:textFill>
            <w14:solidFill>
              <w14:schemeClr w14:val="tx1"/>
            </w14:solidFill>
          </w14:textFill>
        </w:rPr>
      </w:pPr>
      <w:r>
        <w:rPr>
          <w:rFonts w:hint="eastAsia" w:ascii="黑体" w:eastAsia="黑体" w:cs="黑体"/>
          <w:b/>
          <w:iCs/>
          <w:color w:val="000000" w:themeColor="text1"/>
          <w:sz w:val="32"/>
          <w:szCs w:val="32"/>
          <w14:textFill>
            <w14:solidFill>
              <w14:schemeClr w14:val="tx1"/>
            </w14:solidFill>
          </w14:textFill>
        </w:rPr>
        <w:t xml:space="preserve">八、投标函</w:t>
      </w:r>
      <w:r/>
    </w:p>
    <w:p>
      <w:pPr>
        <w:pStyle w:val="785"/>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致：（采购人名称）</w:t>
      </w:r>
      <w:r/>
    </w:p>
    <w:p>
      <w:pPr>
        <w:pStyle w:val="785"/>
        <w:ind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根据贵方的</w:t>
      </w:r>
      <w:r>
        <w:rPr>
          <w:rFonts w:hint="eastAsia"/>
          <w:b/>
          <w:color w:val="000000" w:themeColor="text1"/>
          <w:sz w:val="36"/>
          <w:szCs w:val="36"/>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号招标文件，正式授权下述签字人_________________（姓名）代表我方______________（投标人的名称），全权处理本次项目投标的有关事宜。</w:t>
      </w:r>
      <w:r/>
    </w:p>
    <w:p>
      <w:pPr>
        <w:pStyle w:val="785"/>
        <w:ind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据此函，__________签字人兹宣布同意如下：</w:t>
      </w:r>
      <w:r/>
    </w:p>
    <w:p>
      <w:pPr>
        <w:pStyle w:val="785"/>
        <w:ind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1.按招标文件规定的各项要求，向买方提供所需货物（包含与货物相关的服务）。</w:t>
      </w:r>
      <w:r/>
    </w:p>
    <w:p>
      <w:pPr>
        <w:pStyle w:val="785"/>
        <w:ind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2.我们完全理解贵方不一定将合同授予最低报价的投标人。</w:t>
      </w:r>
      <w:r/>
    </w:p>
    <w:p>
      <w:pPr>
        <w:pStyle w:val="785"/>
        <w:ind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3.我们已详细审核全部招标文件及其有效补充文件，我们知道必须放弃提出含糊不清或误解问题的权利。</w:t>
      </w:r>
      <w:r/>
    </w:p>
    <w:p>
      <w:pPr>
        <w:pStyle w:val="785"/>
        <w:ind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4.我们同意从规定的开标日期起遵循本投标文件，并在规定的投标有效期期满之前均具有约束力。</w:t>
      </w:r>
      <w:r/>
    </w:p>
    <w:p>
      <w:pPr>
        <w:pStyle w:val="785"/>
        <w:ind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785"/>
        <w:ind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785"/>
        <w:ind w:left="425"/>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7.与本投标有关的正式通讯地址为：</w:t>
      </w:r>
      <w:r/>
    </w:p>
    <w:p>
      <w:pPr>
        <w:pStyle w:val="785"/>
        <w:ind w:left="420"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          址：</w:t>
      </w:r>
      <w:r/>
    </w:p>
    <w:p>
      <w:pPr>
        <w:pStyle w:val="785"/>
        <w:ind w:left="420"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邮          编：</w:t>
      </w:r>
      <w:r/>
    </w:p>
    <w:p>
      <w:pPr>
        <w:pStyle w:val="785"/>
        <w:ind w:left="420"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电          话：</w:t>
      </w:r>
      <w:r/>
    </w:p>
    <w:p>
      <w:pPr>
        <w:pStyle w:val="785"/>
        <w:ind w:left="420"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传          真：</w:t>
      </w:r>
      <w:r/>
    </w:p>
    <w:p>
      <w:pPr>
        <w:pStyle w:val="785"/>
        <w:ind w:left="420"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投标人开户行：</w:t>
      </w:r>
      <w:r/>
    </w:p>
    <w:p>
      <w:pPr>
        <w:pStyle w:val="785"/>
        <w:ind w:left="425"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账          号： </w:t>
      </w:r>
      <w:r/>
    </w:p>
    <w:p>
      <w:pPr>
        <w:pStyle w:val="785"/>
        <w:ind w:left="425"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期：________年____月____日</w:t>
      </w:r>
      <w:r/>
    </w:p>
    <w:p>
      <w:pPr>
        <w:pStyle w:val="777"/>
        <w:ind w:left="0"/>
        <w:rPr>
          <w:b/>
          <w:color w:val="000000" w:themeColor="text1"/>
          <w14:textFill>
            <w14:solidFill>
              <w14:schemeClr w14:val="tx1"/>
            </w14:solidFill>
          </w14:textFill>
        </w:rPr>
      </w:pPr>
      <w:r>
        <w:rPr>
          <w:b/>
          <w:color w:val="000000" w:themeColor="text1"/>
          <w14:textFill>
            <w14:solidFill>
              <w14:schemeClr w14:val="tx1"/>
            </w14:solidFill>
          </w14:textFill>
        </w:rPr>
      </w:r>
      <w:r/>
    </w:p>
    <w:p>
      <w:pPr>
        <w:jc w:val="left"/>
        <w:widowControl/>
        <w:rPr>
          <w:b/>
          <w:color w:val="000000" w:themeColor="text1"/>
          <w14:textFill>
            <w14:solidFill>
              <w14:schemeClr w14:val="tx1"/>
            </w14:solidFill>
          </w14:textFill>
        </w:rPr>
      </w:pPr>
      <w:r>
        <w:rPr>
          <w:b/>
          <w:color w:val="000000" w:themeColor="text1"/>
          <w14:textFill>
            <w14:solidFill>
              <w14:schemeClr w14:val="tx1"/>
            </w14:solidFill>
          </w14:textFill>
        </w:rPr>
        <w:br w:type="page" w:clear="all"/>
      </w:r>
      <w:r/>
    </w:p>
    <w:p>
      <w:pPr>
        <w:pStyle w:val="777"/>
        <w:ind w:left="0"/>
        <w:rPr>
          <w:b/>
          <w:color w:val="000000" w:themeColor="text1"/>
          <w14:textFill>
            <w14:solidFill>
              <w14:schemeClr w14:val="tx1"/>
            </w14:solidFill>
          </w14:textFill>
        </w:rPr>
      </w:pPr>
      <w:r>
        <w:rPr>
          <w:b/>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85"/>
        <w:jc w:val="center"/>
        <w:spacing w:beforeAutospacing="0" w:afterAutospacing="0" w:line="0" w:lineRule="atLeast"/>
        <w:rPr>
          <w:color w:val="000000" w:themeColor="text1"/>
          <w14:textFill>
            <w14:solidFill>
              <w14:schemeClr w14:val="tx1"/>
            </w14:solidFill>
          </w14:textFill>
        </w:rPr>
      </w:pPr>
      <w:r>
        <w:rPr>
          <w:rFonts w:hint="eastAsia" w:ascii="黑体" w:eastAsia="黑体" w:cs="黑体"/>
          <w:b/>
          <w:color w:val="000000" w:themeColor="text1"/>
          <w:sz w:val="32"/>
          <w:szCs w:val="32"/>
          <w14:textFill>
            <w14:solidFill>
              <w14:schemeClr w14:val="tx1"/>
            </w14:solidFill>
          </w14:textFill>
        </w:rPr>
        <w:t xml:space="preserve">九、中小企业声明函（服务）</w:t>
      </w:r>
      <w:r/>
    </w:p>
    <w:p>
      <w:pPr>
        <w:ind w:firstLine="480"/>
        <w:spacing w:line="5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本公司（联合体）郑重声明，根据《政府采购促进中小企业发展管理办法》（财库﹝2020﹞46号）的规定，本公司（联合体）参加盐城市政府采购中心组织的</w:t>
      </w:r>
      <w:r>
        <w:rPr>
          <w:rFonts w:hint="eastAsia"/>
          <w:i/>
          <w:iCs/>
          <w:color w:val="000000" w:themeColor="text1"/>
          <w:sz w:val="24"/>
          <w:u w:val="single"/>
          <w14:textFill>
            <w14:solidFill>
              <w14:schemeClr w14:val="tx1"/>
            </w14:solidFill>
          </w14:textFill>
        </w:rPr>
        <w:t xml:space="preserve">（单位名称）</w:t>
      </w:r>
      <w:r>
        <w:rPr>
          <w:rFonts w:hint="eastAsia"/>
          <w:color w:val="000000" w:themeColor="text1"/>
          <w:sz w:val="24"/>
          <w:szCs w:val="20"/>
          <w14:textFill>
            <w14:solidFill>
              <w14:schemeClr w14:val="tx1"/>
            </w14:solidFill>
          </w14:textFill>
        </w:rPr>
        <w:t xml:space="preserve">，</w:t>
      </w:r>
      <w:r>
        <w:rPr>
          <w:rFonts w:hint="eastAsia"/>
          <w:color w:val="000000" w:themeColor="text1"/>
          <w:sz w:val="24"/>
          <w14:textFill>
            <w14:solidFill>
              <w14:schemeClr w14:val="tx1"/>
            </w14:solidFill>
          </w14:textFill>
        </w:rPr>
        <w:t xml:space="preserve">采购编号为</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的</w:t>
      </w:r>
      <w:r>
        <w:rPr>
          <w:rFonts w:hint="eastAsia"/>
          <w:i/>
          <w:iCs/>
          <w:color w:val="000000" w:themeColor="text1"/>
          <w:sz w:val="24"/>
          <w:u w:val="single"/>
          <w14:textFill>
            <w14:solidFill>
              <w14:schemeClr w14:val="tx1"/>
            </w14:solidFill>
          </w14:textFill>
        </w:rPr>
        <w:t xml:space="preserve">（项目名称）</w:t>
      </w:r>
      <w:r>
        <w:rPr>
          <w:rFonts w:hint="eastAsia"/>
          <w:color w:val="000000" w:themeColor="text1"/>
          <w:sz w:val="24"/>
          <w14:textFill>
            <w14:solidFill>
              <w14:schemeClr w14:val="tx1"/>
            </w14:solidFill>
          </w14:textFill>
        </w:rPr>
        <w:t xml:space="preserve">的采购活动，服务全部由符合政策要求的中小企业承接。相关企业（含联合体中的中小企业、签订分包意向协议的中小企业）的具体情况如下：</w:t>
      </w:r>
      <w:r/>
    </w:p>
    <w:p>
      <w:pPr>
        <w:numPr>
          <w:ilvl w:val="0"/>
          <w:numId w:val="4"/>
        </w:numPr>
        <w:ind w:firstLine="480"/>
        <w:spacing w:line="500" w:lineRule="exact"/>
        <w:rPr>
          <w:color w:val="000000" w:themeColor="text1"/>
          <w:sz w:val="24"/>
          <w14:textFill>
            <w14:solidFill>
              <w14:schemeClr w14:val="tx1"/>
            </w14:solidFill>
          </w14:textFill>
        </w:rPr>
      </w:pPr>
      <w:r>
        <w:rPr>
          <w:rFonts w:hint="eastAsia"/>
          <w:i/>
          <w:iCs/>
          <w:color w:val="000000" w:themeColor="text1"/>
          <w:sz w:val="24"/>
          <w:u w:val="single"/>
          <w14:textFill>
            <w14:solidFill>
              <w14:schemeClr w14:val="tx1"/>
            </w14:solidFill>
          </w14:textFill>
        </w:rPr>
        <w:t xml:space="preserve">（标的名称）</w:t>
      </w:r>
      <w:r>
        <w:rPr>
          <w:rFonts w:hint="eastAsia"/>
          <w:color w:val="000000" w:themeColor="text1"/>
          <w:sz w:val="24"/>
          <w14:textFill>
            <w14:solidFill>
              <w14:schemeClr w14:val="tx1"/>
            </w14:solidFill>
          </w14:textFill>
        </w:rPr>
        <w:t xml:space="preserve"> ，属于</w:t>
      </w:r>
      <w:r>
        <w:rPr>
          <w:rFonts w:hint="eastAsia"/>
          <w:i/>
          <w:iCs/>
          <w:color w:val="000000" w:themeColor="text1"/>
          <w:sz w:val="24"/>
          <w:u w:val="single"/>
          <w14:textFill>
            <w14:solidFill>
              <w14:schemeClr w14:val="tx1"/>
            </w14:solidFill>
          </w14:textFill>
        </w:rPr>
        <w:t xml:space="preserve">（采购文件中明确的所属行业）</w:t>
      </w:r>
      <w:r>
        <w:rPr>
          <w:rFonts w:hint="eastAsia"/>
          <w:color w:val="000000" w:themeColor="text1"/>
          <w:sz w:val="24"/>
          <w14:textFill>
            <w14:solidFill>
              <w14:schemeClr w14:val="tx1"/>
            </w14:solidFill>
          </w14:textFill>
        </w:rPr>
        <w:t xml:space="preserve">；承建（承接）企业为</w:t>
      </w:r>
      <w:r>
        <w:rPr>
          <w:rFonts w:hint="eastAsia"/>
          <w:i/>
          <w:iCs/>
          <w:color w:val="000000" w:themeColor="text1"/>
          <w:sz w:val="24"/>
          <w:u w:val="single"/>
          <w14:textFill>
            <w14:solidFill>
              <w14:schemeClr w14:val="tx1"/>
            </w14:solidFill>
          </w14:textFill>
        </w:rPr>
        <w:t xml:space="preserve">（企业名称）</w:t>
      </w:r>
      <w:r>
        <w:rPr>
          <w:rFonts w:hint="eastAsia"/>
          <w:color w:val="000000" w:themeColor="text1"/>
          <w:sz w:val="24"/>
          <w14:textFill>
            <w14:solidFill>
              <w14:schemeClr w14:val="tx1"/>
            </w14:solidFill>
          </w14:textFill>
        </w:rPr>
        <w:t xml:space="preserve">，从业人员</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人，营业收入为</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万元，资产总额为</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万元，属于（</w:t>
      </w:r>
      <w:r>
        <w:rPr>
          <w:rFonts w:hint="eastAsia"/>
          <w:i/>
          <w:iCs/>
          <w:color w:val="000000" w:themeColor="text1"/>
          <w:sz w:val="24"/>
          <w:u w:val="single"/>
          <w14:textFill>
            <w14:solidFill>
              <w14:schemeClr w14:val="tx1"/>
            </w14:solidFill>
          </w14:textFill>
        </w:rPr>
        <w:t xml:space="preserve">中型企业、小型企业、微型企业</w:t>
      </w:r>
      <w:r>
        <w:rPr>
          <w:rFonts w:hint="eastAsia"/>
          <w:color w:val="000000" w:themeColor="text1"/>
          <w:sz w:val="24"/>
          <w14:textFill>
            <w14:solidFill>
              <w14:schemeClr w14:val="tx1"/>
            </w14:solidFill>
          </w14:textFill>
        </w:rPr>
        <w:t xml:space="preserve">）；</w:t>
      </w:r>
      <w:r/>
    </w:p>
    <w:p>
      <w:pPr>
        <w:numPr>
          <w:ilvl w:val="0"/>
          <w:numId w:val="4"/>
        </w:numPr>
        <w:ind w:firstLine="480"/>
        <w:spacing w:line="500" w:lineRule="exact"/>
        <w:rPr>
          <w:color w:val="000000" w:themeColor="text1"/>
          <w:sz w:val="24"/>
          <w14:textFill>
            <w14:solidFill>
              <w14:schemeClr w14:val="tx1"/>
            </w14:solidFill>
          </w14:textFill>
        </w:rPr>
      </w:pPr>
      <w:r>
        <w:rPr>
          <w:rFonts w:hint="eastAsia"/>
          <w:i/>
          <w:iCs/>
          <w:color w:val="000000" w:themeColor="text1"/>
          <w:sz w:val="24"/>
          <w:u w:val="single"/>
          <w14:textFill>
            <w14:solidFill>
              <w14:schemeClr w14:val="tx1"/>
            </w14:solidFill>
          </w14:textFill>
        </w:rPr>
        <w:t xml:space="preserve">（标的名称）</w:t>
      </w:r>
      <w:r>
        <w:rPr>
          <w:rFonts w:hint="eastAsia"/>
          <w:color w:val="000000" w:themeColor="text1"/>
          <w:sz w:val="24"/>
          <w14:textFill>
            <w14:solidFill>
              <w14:schemeClr w14:val="tx1"/>
            </w14:solidFill>
          </w14:textFill>
        </w:rPr>
        <w:t xml:space="preserve"> ，属于</w:t>
      </w:r>
      <w:r>
        <w:rPr>
          <w:rFonts w:hint="eastAsia"/>
          <w:i/>
          <w:iCs/>
          <w:color w:val="000000" w:themeColor="text1"/>
          <w:sz w:val="24"/>
          <w:u w:val="single"/>
          <w14:textFill>
            <w14:solidFill>
              <w14:schemeClr w14:val="tx1"/>
            </w14:solidFill>
          </w14:textFill>
        </w:rPr>
        <w:t xml:space="preserve">（采购文件中明确的所属行业）</w:t>
      </w:r>
      <w:r>
        <w:rPr>
          <w:rFonts w:hint="eastAsia"/>
          <w:color w:val="000000" w:themeColor="text1"/>
          <w:sz w:val="24"/>
          <w14:textFill>
            <w14:solidFill>
              <w14:schemeClr w14:val="tx1"/>
            </w14:solidFill>
          </w14:textFill>
        </w:rPr>
        <w:t xml:space="preserve">；承建（承接）企业为</w:t>
      </w:r>
      <w:r>
        <w:rPr>
          <w:rFonts w:hint="eastAsia"/>
          <w:i/>
          <w:iCs/>
          <w:color w:val="000000" w:themeColor="text1"/>
          <w:sz w:val="24"/>
          <w:u w:val="single"/>
          <w14:textFill>
            <w14:solidFill>
              <w14:schemeClr w14:val="tx1"/>
            </w14:solidFill>
          </w14:textFill>
        </w:rPr>
        <w:t xml:space="preserve">（企业名称）</w:t>
      </w:r>
      <w:r>
        <w:rPr>
          <w:rFonts w:hint="eastAsia"/>
          <w:color w:val="000000" w:themeColor="text1"/>
          <w:sz w:val="24"/>
          <w14:textFill>
            <w14:solidFill>
              <w14:schemeClr w14:val="tx1"/>
            </w14:solidFill>
          </w14:textFill>
        </w:rPr>
        <w:t xml:space="preserve">，从业人员</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人，营业收入为</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万元，资产总额为</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万元，属于</w:t>
      </w:r>
      <w:r>
        <w:rPr>
          <w:rFonts w:hint="eastAsia"/>
          <w:i/>
          <w:iCs/>
          <w:color w:val="000000" w:themeColor="text1"/>
          <w:sz w:val="24"/>
          <w:u w:val="single"/>
          <w14:textFill>
            <w14:solidFill>
              <w14:schemeClr w14:val="tx1"/>
            </w14:solidFill>
          </w14:textFill>
        </w:rPr>
        <w:t xml:space="preserve">（中型企业、小型企业、微型企业）</w:t>
      </w:r>
      <w:r>
        <w:rPr>
          <w:rFonts w:hint="eastAsia"/>
          <w:color w:val="000000" w:themeColor="text1"/>
          <w:sz w:val="24"/>
          <w14:textFill>
            <w14:solidFill>
              <w14:schemeClr w14:val="tx1"/>
            </w14:solidFill>
          </w14:textFill>
        </w:rPr>
        <w:t xml:space="preserve">；</w:t>
      </w:r>
      <w:r/>
    </w:p>
    <w:p>
      <w:pPr>
        <w:ind w:firstLine="480"/>
        <w:spacing w:line="5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w:t>
      </w:r>
      <w:r/>
    </w:p>
    <w:p>
      <w:pPr>
        <w:ind w:firstLine="480"/>
        <w:spacing w:line="5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5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本企业对上述声明内容的真实性负责。如有虚假，将依法承担相应责任。</w:t>
      </w:r>
      <w:r/>
    </w:p>
    <w:p>
      <w:pPr>
        <w:pStyle w:val="785"/>
        <w:ind w:right="720"/>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785"/>
        <w:ind w:right="180" w:firstLine="360"/>
        <w:jc w:val="right"/>
        <w:spacing w:beforeAutospacing="0" w:afterAutospacing="0" w:line="0" w:lineRule="atLeast"/>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企业名称（加盖CA电子公章）：</w:t>
      </w:r>
      <w:r/>
    </w:p>
    <w:p>
      <w:pPr>
        <w:pStyle w:val="785"/>
        <w:ind w:right="480" w:firstLine="5880"/>
        <w:jc w:val="both"/>
        <w:spacing w:beforeAutospacing="0" w:afterAutospacing="0" w:line="0" w:lineRule="atLeast"/>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日  期：</w:t>
      </w:r>
      <w:r/>
    </w:p>
    <w:p>
      <w:pPr>
        <w:pStyle w:val="785"/>
        <w:ind w:firstLine="240"/>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785"/>
        <w:ind w:firstLine="480"/>
        <w:jc w:val="both"/>
        <w:spacing w:beforeAutospacing="0" w:afterAutospacing="0" w:line="0" w:lineRule="atLeast"/>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备注1：从业人员、营业收入、资产总额填报上一年度数据，无上一年度数据的新成立企业可不填报。</w:t>
      </w:r>
      <w:r/>
    </w:p>
    <w:p>
      <w:pPr>
        <w:pStyle w:val="785"/>
        <w:ind w:firstLine="480"/>
        <w:jc w:val="both"/>
        <w:spacing w:beforeAutospacing="0" w:afterAutospacing="0" w:line="0" w:lineRule="atLeast"/>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备注2：投标人如不提供此声明函，价格将不做相应扣除（如项目全面面向中小企业，则资格审查不通过）。</w:t>
      </w:r>
      <w:r/>
    </w:p>
    <w:p>
      <w:pPr>
        <w:pStyle w:val="789"/>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br w:type="page" w:clear="all"/>
      </w:r>
      <w:r/>
    </w:p>
    <w:p>
      <w:pPr>
        <w:jc w:val="center"/>
        <w:spacing w:line="560" w:lineRule="exact"/>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 xml:space="preserve">十、残疾人福利性单位声明函</w:t>
      </w:r>
      <w:r/>
    </w:p>
    <w:p>
      <w:pPr>
        <w:jc w:val="center"/>
        <w:spacing w:line="360" w:lineRule="auto"/>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pStyle w:val="785"/>
        <w:ind w:firstLine="480"/>
        <w:jc w:val="both"/>
        <w:spacing w:beforeAutospacing="0" w:afterAutospacing="0" w:line="0" w:lineRule="atLeast"/>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 xml:space="preserve">的</w:t>
      </w:r>
      <w:r>
        <w:rPr>
          <w:rFonts w:hint="eastAsia" w:cs="宋体"/>
          <w:color w:val="000000" w:themeColor="text1"/>
          <w:u w:val="single"/>
          <w14:textFill>
            <w14:solidFill>
              <w14:schemeClr w14:val="tx1"/>
            </w14:solidFill>
          </w14:textFill>
        </w:rPr>
        <w:t xml:space="preserve">       </w:t>
      </w:r>
      <w:r>
        <w:rPr>
          <w:rFonts w:hint="eastAsia" w:cs="宋体"/>
          <w:color w:val="000000" w:themeColor="text1"/>
          <w14:textFill>
            <w14:solidFill>
              <w14:schemeClr w14:val="tx1"/>
            </w14:solidFill>
          </w14:textFill>
        </w:rPr>
        <w:t xml:space="preserve">项目采购活动由本单位提供服务。</w:t>
      </w:r>
      <w:r/>
    </w:p>
    <w:p>
      <w:pPr>
        <w:pStyle w:val="785"/>
        <w:ind w:firstLine="480"/>
        <w:jc w:val="both"/>
        <w:spacing w:beforeAutospacing="0" w:afterAutospacing="0" w:line="0" w:lineRule="atLeast"/>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本单位对上述声明的真实性负责。如有虚假，将依法承担相应责任。</w:t>
      </w:r>
      <w:r/>
    </w:p>
    <w:p>
      <w:pPr>
        <w:pStyle w:val="785"/>
        <w:ind w:firstLine="480"/>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785"/>
        <w:ind w:firstLine="480"/>
        <w:jc w:val="both"/>
        <w:spacing w:beforeAutospacing="0" w:afterAutospacing="0" w:line="0" w:lineRule="atLeast"/>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备注：1、投标人如不提供此声明函，价格将不做相应扣除（如项目全面面向中小企业，则资格审查不通过）。</w:t>
      </w:r>
      <w:r/>
    </w:p>
    <w:p>
      <w:pPr>
        <w:pStyle w:val="785"/>
        <w:numPr>
          <w:ilvl w:val="0"/>
          <w:numId w:val="5"/>
        </w:numPr>
        <w:ind w:firstLine="624"/>
        <w:jc w:val="both"/>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中标人为残疾人福利单位的，此声明函将随中标结果同时公告，接受社会监督。</w:t>
      </w:r>
      <w:r/>
    </w:p>
    <w:p>
      <w:pPr>
        <w:pStyle w:val="785"/>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785"/>
        <w:ind w:right="1560" w:firstLine="624"/>
        <w:jc w:val="center"/>
        <w:spacing w:beforeAutospacing="0" w:afterAutospacing="0" w:line="0" w:lineRule="atLeast"/>
        <w:tabs>
          <w:tab w:val="left" w:pos="4864" w:leader="none"/>
        </w:tabs>
        <w:rPr>
          <w:color w:val="000000" w:themeColor="text1"/>
          <w14:textFill>
            <w14:solidFill>
              <w14:schemeClr w14:val="tx1"/>
            </w14:solidFill>
          </w14:textFill>
        </w:rPr>
      </w:pPr>
      <w:r>
        <w:rPr>
          <w:rFonts w:ascii="仿宋_GB2312" w:eastAsia="仿宋_GB2312" w:cs="仿宋_GB2312"/>
          <w:color w:val="000000" w:themeColor="text1"/>
          <w:sz w:val="30"/>
          <w:szCs w:val="30"/>
          <w14:textFill>
            <w14:solidFill>
              <w14:schemeClr w14:val="tx1"/>
            </w14:solidFill>
          </w14:textFill>
        </w:rPr>
        <w:t xml:space="preserve">           </w:t>
      </w:r>
      <w:r>
        <w:rPr>
          <w:rFonts w:hint="eastAsia" w:ascii="仿宋_GB2312" w:eastAsia="仿宋_GB2312" w:cs="仿宋_GB2312"/>
          <w:color w:val="000000" w:themeColor="text1"/>
          <w:sz w:val="30"/>
          <w:szCs w:val="30"/>
          <w14:textFill>
            <w14:solidFill>
              <w14:schemeClr w14:val="tx1"/>
            </w14:solidFill>
          </w14:textFill>
        </w:rPr>
        <w:t xml:space="preserve">   </w:t>
      </w:r>
      <w:r>
        <w:rPr>
          <w:rFonts w:hint="eastAsia"/>
          <w:color w:val="000000" w:themeColor="text1"/>
          <w14:textFill>
            <w14:solidFill>
              <w14:schemeClr w14:val="tx1"/>
            </w14:solidFill>
          </w14:textFill>
        </w:rPr>
        <w:t xml:space="preserve">投标人全称（加盖CA电子公章）：</w:t>
      </w:r>
      <w:r/>
    </w:p>
    <w:p>
      <w:pPr>
        <w:pStyle w:val="785"/>
        <w:ind w:right="1560" w:firstLine="480"/>
        <w:jc w:val="center"/>
        <w:spacing w:beforeAutospacing="0" w:afterAutospacing="0" w:line="0" w:lineRule="atLeast"/>
        <w:tabs>
          <w:tab w:val="left" w:pos="4864"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日  期：</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b/>
          <w:color w:val="000000" w:themeColor="text1"/>
          <w14:textFill>
            <w14:solidFill>
              <w14:schemeClr w14:val="tx1"/>
            </w14:solidFill>
          </w14:textFill>
        </w:rPr>
      </w:pPr>
      <w:r>
        <w:rPr>
          <w:b/>
          <w:color w:val="000000" w:themeColor="text1"/>
          <w14:textFill>
            <w14:solidFill>
              <w14:schemeClr w14:val="tx1"/>
            </w14:solidFill>
          </w14:textFill>
        </w:rPr>
      </w:r>
      <w:r/>
    </w:p>
    <w:p>
      <w:pPr>
        <w:spacing w:line="360" w:lineRule="auto"/>
        <w:rPr>
          <w:b/>
          <w:color w:val="000000" w:themeColor="text1"/>
          <w14:textFill>
            <w14:solidFill>
              <w14:schemeClr w14:val="tx1"/>
            </w14:solidFill>
          </w14:textFill>
        </w:rPr>
      </w:pPr>
      <w:r>
        <w:rPr>
          <w:b/>
          <w:color w:val="000000" w:themeColor="text1"/>
          <w14:textFill>
            <w14:solidFill>
              <w14:schemeClr w14:val="tx1"/>
            </w14:solidFill>
          </w14:textFill>
        </w:rPr>
      </w:r>
      <w:r/>
    </w:p>
    <w:p>
      <w:pPr>
        <w:spacing w:line="360" w:lineRule="auto"/>
        <w:rPr>
          <w:b/>
          <w:color w:val="000000" w:themeColor="text1"/>
          <w14:textFill>
            <w14:solidFill>
              <w14:schemeClr w14:val="tx1"/>
            </w14:solidFill>
          </w14:textFill>
        </w:rPr>
      </w:pPr>
      <w:r>
        <w:rPr>
          <w:b/>
          <w:color w:val="000000" w:themeColor="text1"/>
          <w14:textFill>
            <w14:solidFill>
              <w14:schemeClr w14:val="tx1"/>
            </w14:solidFill>
          </w14:textFill>
        </w:rPr>
      </w:r>
      <w:r/>
    </w:p>
    <w:p>
      <w:pPr>
        <w:pStyle w:val="777"/>
        <w:rPr>
          <w:color w:val="000000" w:themeColor="text1"/>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br w:type="page" w:clear="all"/>
      </w:r>
      <w:r/>
    </w:p>
    <w:p>
      <w:pPr>
        <w:pStyle w:val="752"/>
        <w:ind w:firstLine="643"/>
        <w:jc w:val="center"/>
        <w:spacing w:line="500" w:lineRule="exact"/>
        <w:rPr>
          <w:rFonts w:ascii="宋体"/>
          <w:color w:val="000000" w:themeColor="text1"/>
          <w:sz w:val="24"/>
          <w:szCs w:val="24"/>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 xml:space="preserve">十一、投标分项报价表</w:t>
      </w:r>
      <w:r/>
    </w:p>
    <w:p>
      <w:pPr>
        <w:ind w:firstLine="120"/>
        <w:jc w:val="left"/>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1"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0" o:spid="_x0000_s0" o:spt="32" type="#_x0000_t32" style="position:absolute;z-index:251660288;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color w:val="000000" w:themeColor="text1"/>
          <w:sz w:val="24"/>
          <w14:textFill>
            <w14:solidFill>
              <w14:schemeClr w14:val="tx1"/>
            </w14:solidFill>
          </w14:textFill>
        </w:rPr>
        <w:t xml:space="preserve">投标人全称：                     （加盖公章）</w:t>
      </w:r>
      <w:r/>
    </w:p>
    <w:tbl>
      <w:tblPr>
        <w:tblStyle w:val="751"/>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val="false"/>
          </w:tcPr>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分项</w:t>
            </w:r>
            <w:r/>
          </w:p>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分项</w:t>
            </w:r>
            <w:r/>
          </w:p>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785"/>
              <w:jc w:val="center"/>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85"/>
              <w:jc w:val="both"/>
              <w:spacing w:beforeAutospacing="0" w:afterAutospacing="0" w:line="0" w:lineRule="atLeas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w:t>
            </w:r>
            <w:r/>
          </w:p>
        </w:tc>
      </w:tr>
    </w:tbl>
    <w:p>
      <w:pPr>
        <w:spacing w:line="800" w:lineRule="exact"/>
        <w:rPr>
          <w:rFonts w:asci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法定代表人或授权代表签字：</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注：1.投标报价采用总承包方式，“投标总报价”应包括</w:t>
      </w:r>
      <w:r>
        <w:rPr>
          <w:rFonts w:hint="eastAsia" w:ascii="宋体" w:hAnsi="宋体" w:cs="宋体"/>
          <w:color w:val="000000" w:themeColor="text1"/>
          <w:sz w:val="24"/>
          <w14:textFill>
            <w14:solidFill>
              <w14:schemeClr w14:val="tx1"/>
            </w14:solidFill>
          </w14:textFill>
        </w:rPr>
        <w:t xml:space="preserve">为完成本项目，但不仅限于从基础资料及文件的收集、与相关规划的对接、外出考察调研、方案汇报、组织专家论证、相关部门审查、报批、验收及其相关服务的总费用，包括人工费、管理费、利润、税金等所有费用</w:t>
      </w:r>
      <w:r>
        <w:rPr>
          <w:rFonts w:hint="eastAsia" w:ascii="宋体" w:hAnsi="宋体"/>
          <w:color w:val="000000" w:themeColor="text1"/>
          <w:sz w:val="24"/>
          <w14:textFill>
            <w14:solidFill>
              <w14:schemeClr w14:val="tx1"/>
            </w14:solidFill>
          </w14:textFill>
        </w:rPr>
        <w:t xml:space="preserve">，招标文件另有规定的除外。2. “投标分项报价表”中“投标总报价”数额应当与“开标一览表”中“投标总报价”数额一致。</w:t>
      </w:r>
      <w:r/>
    </w:p>
    <w:p>
      <w:pPr>
        <w:spacing w:line="500" w:lineRule="exact"/>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r>
      <w:r/>
    </w:p>
    <w:p>
      <w:pPr>
        <w:jc w:val="left"/>
        <w:widowControl/>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br w:type="page" w:clear="all"/>
      </w:r>
      <w:r/>
    </w:p>
    <w:p>
      <w:pPr>
        <w:pStyle w:val="752"/>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r>
      <w:r/>
    </w:p>
    <w:p>
      <w:pPr>
        <w:jc w:val="center"/>
        <w:spacing w:before="50" w:after="50"/>
        <w:rPr>
          <w:rFonts w:ascii="黑体" w:eastAsia="黑体"/>
          <w:color w:val="000000" w:themeColor="text1"/>
          <w:sz w:val="32"/>
          <w:szCs w:val="32"/>
          <w14:textFill>
            <w14:solidFill>
              <w14:schemeClr w14:val="tx1"/>
            </w14:solidFill>
          </w14:textFill>
        </w:rPr>
      </w:pPr>
      <w:r/>
      <w:bookmarkStart w:id="146" w:name="_Toc462564146"/>
      <w:r>
        <w:rPr>
          <w:rFonts w:hint="eastAsia" w:ascii="宋体" w:hAnsi="宋体" w:eastAsia="黑体"/>
          <w:b/>
          <w:color w:val="000000" w:themeColor="text1"/>
          <w:sz w:val="36"/>
          <w:szCs w:val="36"/>
          <w14:textFill>
            <w14:solidFill>
              <w14:schemeClr w14:val="tx1"/>
            </w14:solidFill>
          </w14:textFill>
        </w:rPr>
        <w:t xml:space="preserve">十二、技术参数响应及偏离表</w:t>
      </w:r>
      <w:r/>
    </w:p>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bl>
      <w:tblPr>
        <w:tblStyle w:val="75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证明</w:t>
            </w:r>
            <w:r/>
          </w:p>
          <w:p>
            <w:pPr>
              <w:pStyle w:val="785"/>
              <w:jc w:val="center"/>
              <w:spacing w:beforeAutospacing="0" w:afterAutospacing="0"/>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bl>
    <w:p>
      <w:pPr>
        <w:pStyle w:val="785"/>
        <w:jc w:val="both"/>
        <w:spacing w:beforeAutospacing="0" w:afterAutospacing="0"/>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注： 行数不够，可自行添加。</w:t>
      </w:r>
      <w:r/>
    </w:p>
    <w:p>
      <w:pPr>
        <w:ind w:left="480"/>
        <w:spacing w:line="360" w:lineRule="auto"/>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777"/>
        <w:rPr>
          <w:color w:val="000000" w:themeColor="text1"/>
          <w14:textFill>
            <w14:solidFill>
              <w14:schemeClr w14:val="tx1"/>
            </w14:solidFill>
          </w14:textFill>
        </w:rPr>
      </w:pPr>
      <w:r>
        <w:rPr>
          <w:color w:val="000000" w:themeColor="text1"/>
          <w14:textFill>
            <w14:solidFill>
              <w14:schemeClr w14:val="tx1"/>
            </w14:solidFill>
          </w14:textFill>
        </w:rPr>
      </w:r>
      <w:r/>
    </w:p>
    <w:p>
      <w:pPr>
        <w:pStyle w:val="789"/>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before="50" w:after="50"/>
        <w:rPr>
          <w:rFonts w:ascii="宋体" w:hAnsi="宋体"/>
          <w:color w:val="000000" w:themeColor="text1"/>
          <w:sz w:val="24"/>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 xml:space="preserve">十三、商务要求响应及偏离表   </w:t>
      </w:r>
      <w:r>
        <w:rPr>
          <w:rFonts w:hint="eastAsia" w:ascii="宋体" w:hAnsi="宋体"/>
          <w:color w:val="000000" w:themeColor="text1"/>
          <w:sz w:val="24"/>
          <w14:textFill>
            <w14:solidFill>
              <w14:schemeClr w14:val="tx1"/>
            </w14:solidFill>
          </w14:textFill>
        </w:rPr>
        <w:t xml:space="preserve"> </w:t>
      </w:r>
      <w:r/>
    </w:p>
    <w:tbl>
      <w:tblPr>
        <w:tblStyle w:val="75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证明</w:t>
            </w:r>
            <w:r/>
          </w:p>
          <w:p>
            <w:pPr>
              <w:pStyle w:val="785"/>
              <w:jc w:val="center"/>
              <w:spacing w:beforeAutospacing="0" w:afterAutospacing="0"/>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bl>
    <w:p>
      <w:pPr>
        <w:pStyle w:val="785"/>
        <w:jc w:val="both"/>
        <w:spacing w:beforeAutospacing="0" w:afterAutospacing="0"/>
        <w:rPr>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注： 行数不够，可自行添加。</w:t>
      </w:r>
      <w:r/>
    </w:p>
    <w:p>
      <w:pPr>
        <w:ind w:firstLine="723"/>
        <w:jc w:val="center"/>
        <w:spacing w:line="500" w:lineRule="exact"/>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r>
      <w:r/>
    </w:p>
    <w:p>
      <w:pPr>
        <w:ind w:firstLine="723"/>
        <w:jc w:val="center"/>
        <w:spacing w:line="500" w:lineRule="exact"/>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r>
      <w:r/>
    </w:p>
    <w:p>
      <w:pPr>
        <w:pStyle w:val="789"/>
        <w:ind w:firstLine="723"/>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r>
      <w:r/>
    </w:p>
    <w:p>
      <w:pPr>
        <w:pStyle w:val="777"/>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r>
      <w:r/>
    </w:p>
    <w:p>
      <w:pPr>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r>
      <w:r/>
    </w:p>
    <w:p>
      <w:pPr>
        <w:pStyle w:val="789"/>
        <w:ind w:firstLine="723"/>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r>
      <w:r/>
    </w:p>
    <w:p>
      <w:pPr>
        <w:pStyle w:val="777"/>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r>
      <w:r/>
    </w:p>
    <w:p>
      <w:pPr>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r>
      <w:r/>
    </w:p>
    <w:p>
      <w:pPr>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r>
      <w:r/>
    </w:p>
    <w:p>
      <w:pPr>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r>
      <w:r/>
    </w:p>
    <w:p>
      <w:pPr>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r>
      <w:r/>
    </w:p>
    <w:p>
      <w:pPr>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r>
      <w:bookmarkEnd w:id="125"/>
      <w:r/>
      <w:bookmarkEnd w:id="126"/>
      <w:r/>
      <w:bookmarkEnd w:id="127"/>
      <w:r/>
      <w:bookmarkEnd w:id="138"/>
      <w:r/>
      <w:bookmarkEnd w:id="139"/>
      <w:r/>
      <w:bookmarkEnd w:id="140"/>
      <w:r/>
      <w:bookmarkEnd w:id="141"/>
      <w:r/>
      <w:bookmarkEnd w:id="142"/>
      <w:r/>
      <w:bookmarkEnd w:id="143"/>
      <w:r/>
      <w:bookmarkEnd w:id="144"/>
      <w:r/>
      <w:bookmarkEnd w:id="145"/>
      <w:r/>
      <w:bookmarkEnd w:id="146"/>
      <w:r/>
      <w:r/>
    </w:p>
    <w:p>
      <w:pPr>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r>
      <w:r/>
    </w:p>
    <w:p>
      <w:pPr>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r>
      <w:r/>
    </w:p>
    <w:p>
      <w:pPr>
        <w:pStyle w:val="741"/>
        <w:jc w:val="center"/>
        <w:keepNext w:val="0"/>
        <w:widowControl/>
        <w:rPr>
          <w:rFonts w:ascii="黑体" w:hAnsi="宋体" w:eastAsia="黑体" w:cs="黑体"/>
          <w:iCs/>
          <w:color w:val="000000" w:themeColor="text1"/>
          <w:sz w:val="32"/>
          <w:szCs w:val="32"/>
          <w14:textFill>
            <w14:solidFill>
              <w14:schemeClr w14:val="tx1"/>
            </w14:solidFill>
          </w14:textFill>
        </w:rPr>
      </w:pPr>
      <w:r>
        <w:rPr>
          <w:rFonts w:hint="eastAsia" w:ascii="黑体" w:hAnsi="宋体" w:eastAsia="黑体" w:cs="黑体"/>
          <w:iCs/>
          <w:color w:val="000000" w:themeColor="text1"/>
          <w:sz w:val="32"/>
          <w:szCs w:val="32"/>
          <w14:textFill>
            <w14:solidFill>
              <w14:schemeClr w14:val="tx1"/>
            </w14:solidFill>
          </w14:textFill>
        </w:rPr>
        <w:t xml:space="preserve">十四、开标一览表</w:t>
      </w:r>
      <w:r/>
    </w:p>
    <w:p>
      <w:pPr>
        <w:pStyle w:val="785"/>
        <w:rPr>
          <w:color w:val="000000" w:themeColor="text1"/>
          <w14:textFill>
            <w14:solidFill>
              <w14:schemeClr w14:val="tx1"/>
            </w14:solidFill>
          </w14:textFill>
        </w:rPr>
      </w:pPr>
      <w:r>
        <w:rPr>
          <w:color w:val="000000" w:themeColor="text1"/>
          <w14:textFill>
            <w14:solidFill>
              <w14:schemeClr w14:val="tx1"/>
            </w14:solidFill>
          </w14:textFill>
        </w:rPr>
        <w:t xml:space="preserve">项目编号： </w:t>
      </w:r>
      <w:r/>
    </w:p>
    <w:p>
      <w:pPr>
        <w:pStyle w:val="785"/>
        <w:rPr>
          <w:color w:val="000000" w:themeColor="text1"/>
          <w14:textFill>
            <w14:solidFill>
              <w14:schemeClr w14:val="tx1"/>
            </w14:solidFill>
          </w14:textFill>
        </w:rPr>
      </w:pPr>
      <w:r>
        <w:rPr>
          <w:color w:val="000000" w:themeColor="text1"/>
          <w14:textFill>
            <w14:solidFill>
              <w14:schemeClr w14:val="tx1"/>
            </w14:solidFill>
          </w14:textFill>
        </w:rPr>
        <w:t xml:space="preserve">货币单位：人民币元</w:t>
      </w:r>
      <w:r/>
    </w:p>
    <w:p>
      <w:pPr>
        <w:pStyle w:val="785"/>
        <w:rPr>
          <w:color w:val="000000" w:themeColor="text1"/>
          <w14:textFill>
            <w14:solidFill>
              <w14:schemeClr w14:val="tx1"/>
            </w14:solidFill>
          </w14:textFill>
        </w:rPr>
      </w:pPr>
      <w:r>
        <w:rPr>
          <w:color w:val="000000" w:themeColor="text1"/>
          <w14:textFill>
            <w14:solidFill>
              <w14:schemeClr w14:val="tx1"/>
            </w14:solidFill>
          </w14:textFill>
        </w:rPr>
        <w:t xml:space="preserve"> </w:t>
      </w:r>
      <w:r/>
    </w:p>
    <w:tbl>
      <w:tblPr>
        <w:tblStyle w:val="75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Pr>
        <w:tc>
          <w:tcPr>
            <w:tcW w:w="2892" w:type="dxa"/>
            <w:vAlign w:val="center"/>
            <w:textDirection w:val="lrTb"/>
            <w:noWrap w:val="false"/>
          </w:tcPr>
          <w:p>
            <w:pPr>
              <w:pStyle w:val="785"/>
              <w:rPr>
                <w:color w:val="000000" w:themeColor="text1"/>
                <w14:textFill>
                  <w14:solidFill>
                    <w14:schemeClr w14:val="tx1"/>
                  </w14:solidFill>
                </w14:textFill>
              </w:rPr>
            </w:pPr>
            <w:r>
              <w:rPr>
                <w:color w:val="000000" w:themeColor="text1"/>
                <w14:textFill>
                  <w14:solidFill>
                    <w14:schemeClr w14:val="tx1"/>
                  </w14:solidFill>
                </w14:textFill>
              </w:rPr>
              <w:t xml:space="preserve">项目名称</w:t>
            </w:r>
            <w:r/>
          </w:p>
        </w:tc>
        <w:tc>
          <w:tcPr>
            <w:tcW w:w="2700" w:type="dxa"/>
            <w:vAlign w:val="center"/>
            <w:textDirection w:val="lrTb"/>
            <w:noWrap w:val="false"/>
          </w:tcPr>
          <w:p>
            <w:pPr>
              <w:pStyle w:val="785"/>
              <w:rPr>
                <w:color w:val="000000" w:themeColor="text1"/>
                <w14:textFill>
                  <w14:solidFill>
                    <w14:schemeClr w14:val="tx1"/>
                  </w14:solidFill>
                </w14:textFill>
              </w:rPr>
            </w:pPr>
            <w:r>
              <w:rPr>
                <w:color w:val="000000" w:themeColor="text1"/>
                <w14:textFill>
                  <w14:solidFill>
                    <w14:schemeClr w14:val="tx1"/>
                  </w14:solidFill>
                </w14:textFill>
              </w:rPr>
              <w:t xml:space="preserve">项目内容</w:t>
            </w:r>
            <w:r/>
          </w:p>
        </w:tc>
        <w:tc>
          <w:tcPr>
            <w:tcW w:w="3408" w:type="dxa"/>
            <w:vAlign w:val="center"/>
            <w:textDirection w:val="lrTb"/>
            <w:noWrap w:val="false"/>
          </w:tcPr>
          <w:p>
            <w:pPr>
              <w:pStyle w:val="785"/>
              <w:rPr>
                <w:color w:val="000000" w:themeColor="text1"/>
                <w14:textFill>
                  <w14:solidFill>
                    <w14:schemeClr w14:val="tx1"/>
                  </w14:solidFill>
                </w14:textFill>
              </w:rPr>
            </w:pPr>
            <w:r>
              <w:rPr>
                <w:color w:val="000000" w:themeColor="text1"/>
                <w14:textFill>
                  <w14:solidFill>
                    <w14:schemeClr w14:val="tx1"/>
                  </w14:solidFill>
                </w14:textFill>
              </w:rPr>
              <w:t xml:space="preserve">总价（小写）</w:t>
            </w:r>
            <w:r/>
          </w:p>
        </w:tc>
      </w:tr>
      <w:tr>
        <w:trPr>
          <w:tblCellSpacing w:w="15" w:type="dxa"/>
        </w:trPr>
        <w:tc>
          <w:tcPr>
            <w:tcW w:w="2892" w:type="dxa"/>
            <w:vAlign w:val="center"/>
            <w:textDirection w:val="lrTb"/>
            <w:noWrap w:val="false"/>
          </w:tcPr>
          <w:p>
            <w:pPr>
              <w:jc w:val="left"/>
              <w:widowControl/>
              <w:rPr>
                <w:color w:val="000000" w:themeColor="text1"/>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 盐城市“十五五”应急管理规划编制项目 </w:t>
            </w:r>
            <w:r>
              <w:rPr>
                <w:rFonts w:ascii="宋体" w:hAnsi="宋体" w:cs="宋体"/>
                <w:color w:val="000000" w:themeColor="text1"/>
                <w:sz w:val="24"/>
                <w:lang w:bidi="ar"/>
                <w14:textFill>
                  <w14:solidFill>
                    <w14:schemeClr w14:val="tx1"/>
                  </w14:solidFill>
                </w14:textFill>
              </w:rPr>
              <w:t xml:space="preserve"> </w:t>
            </w:r>
            <w:r/>
          </w:p>
        </w:tc>
        <w:tc>
          <w:tcPr>
            <w:tcW w:w="2700" w:type="dxa"/>
            <w:vAlign w:val="center"/>
            <w:textDirection w:val="lrTb"/>
            <w:noWrap w:val="false"/>
          </w:tcPr>
          <w:p>
            <w:pPr>
              <w:pStyle w:val="785"/>
              <w:rPr>
                <w:color w:val="000000" w:themeColor="text1"/>
                <w14:textFill>
                  <w14:solidFill>
                    <w14:schemeClr w14:val="tx1"/>
                  </w14:solidFill>
                </w14:textFill>
              </w:rPr>
            </w:pPr>
            <w:r>
              <w:rPr>
                <w:color w:val="000000" w:themeColor="text1"/>
                <w14:textFill>
                  <w14:solidFill>
                    <w14:schemeClr w14:val="tx1"/>
                  </w14:solidFill>
                </w14:textFill>
              </w:rPr>
              <w:t xml:space="preserve">详见投标文件</w:t>
            </w:r>
            <w:r/>
          </w:p>
        </w:tc>
        <w:tc>
          <w:tcPr>
            <w:tcW w:w="3408" w:type="dxa"/>
            <w:vAlign w:val="center"/>
            <w:textDirection w:val="lrTb"/>
            <w:noWrap w:val="false"/>
          </w:tcPr>
          <w:p>
            <w:pPr>
              <w:pStyle w:val="785"/>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35" cy="0"/>
                      <wp:effectExtent l="0" t="4445" r="0" b="5080"/>
                      <wp:docPr id="2"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strokeweight="0.75pt">
                      <v:stroke dashstyle="solid"/>
                    </v:shape>
                  </w:pict>
                </mc:Fallback>
              </mc:AlternateContent>
            </w:r>
            <w:r>
              <w:rPr>
                <w:color w:val="000000" w:themeColor="text1"/>
                <w14:textFill>
                  <w14:solidFill>
                    <w14:schemeClr w14:val="tx1"/>
                  </w14:solidFill>
                </w14:textFill>
              </w:rPr>
              <w:t xml:space="preserve">   元</w:t>
            </w:r>
            <w:r/>
          </w:p>
        </w:tc>
      </w:tr>
      <w:tr>
        <w:trPr>
          <w:tblCellSpacing w:w="15" w:type="dxa"/>
        </w:trPr>
        <w:tc>
          <w:tcPr>
            <w:tcW w:w="2892" w:type="dxa"/>
            <w:vAlign w:val="center"/>
            <w:textDirection w:val="lrTb"/>
            <w:noWrap w:val="false"/>
          </w:tcPr>
          <w:p>
            <w:pPr>
              <w:pStyle w:val="785"/>
              <w:rPr>
                <w:color w:val="000000" w:themeColor="text1"/>
                <w14:textFill>
                  <w14:solidFill>
                    <w14:schemeClr w14:val="tx1"/>
                  </w14:solidFill>
                </w14:textFill>
              </w:rPr>
            </w:pPr>
            <w:r>
              <w:rPr>
                <w:color w:val="000000" w:themeColor="text1"/>
                <w14:textFill>
                  <w14:solidFill>
                    <w14:schemeClr w14:val="tx1"/>
                  </w14:solidFill>
                </w14:textFill>
              </w:rPr>
              <w:t xml:space="preserve">总价（大写）：</w:t>
            </w:r>
            <w:r/>
          </w:p>
        </w:tc>
        <w:tc>
          <w:tcPr>
            <w:gridSpan w:val="2"/>
            <w:tcW w:w="6096" w:type="dxa"/>
            <w:vAlign w:val="center"/>
            <w:textDirection w:val="lrTb"/>
            <w:noWrap w:val="false"/>
          </w:tcPr>
          <w:p>
            <w:pPr>
              <w:pStyle w:val="785"/>
              <w:rPr>
                <w:color w:val="000000" w:themeColor="text1"/>
                <w14:textFill>
                  <w14:solidFill>
                    <w14:schemeClr w14:val="tx1"/>
                  </w14:solidFill>
                </w14:textFill>
              </w:rPr>
            </w:pPr>
            <w:r>
              <w:rPr>
                <w:color w:val="000000" w:themeColor="text1"/>
                <w14:textFill>
                  <w14:solidFill>
                    <w14:schemeClr w14:val="tx1"/>
                  </w14:solidFill>
                </w14:textFill>
              </w:rPr>
              <w:t xml:space="preserve">金额大写  </w:t>
            </w:r>
            <w:r/>
          </w:p>
        </w:tc>
      </w:tr>
    </w:tbl>
    <w:p>
      <w:pPr>
        <w:pStyle w:val="785"/>
        <w:rPr>
          <w:color w:val="000000" w:themeColor="text1"/>
          <w14:textFill>
            <w14:solidFill>
              <w14:schemeClr w14:val="tx1"/>
            </w14:solidFill>
          </w14:textFill>
        </w:rPr>
      </w:pPr>
      <w:r>
        <w:rPr>
          <w:color w:val="000000" w:themeColor="text1"/>
          <w14:textFill>
            <w14:solidFill>
              <w14:schemeClr w14:val="tx1"/>
            </w14:solidFill>
          </w14:textFill>
        </w:rPr>
        <w:t xml:space="preserve">投标人公章：                               （电子签章）</w:t>
      </w:r>
      <w:r/>
    </w:p>
    <w:p>
      <w:pPr>
        <w:pStyle w:val="785"/>
        <w:jc w:val="righ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785"/>
        <w:jc w:val="right"/>
        <w:rPr>
          <w:color w:val="000000" w:themeColor="text1"/>
          <w14:textFill>
            <w14:solidFill>
              <w14:schemeClr w14:val="tx1"/>
            </w14:solidFill>
          </w14:textFill>
        </w:rPr>
      </w:pPr>
      <w:r>
        <w:rPr>
          <w:color w:val="000000" w:themeColor="text1"/>
          <w14:textFill>
            <w14:solidFill>
              <w14:schemeClr w14:val="tx1"/>
            </w14:solidFill>
          </w14:textFill>
        </w:rPr>
        <w:t xml:space="preserve">日期：</w: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35" cy="0"/>
                <wp:effectExtent l="0" t="4445" r="0" b="5080"/>
                <wp:docPr id="3"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strokeweight="0.75pt">
                <v:stroke dashstyle="solid"/>
              </v:shape>
            </w:pict>
          </mc:Fallback>
        </mc:AlternateContent>
      </w:r>
      <w:r>
        <w:rPr>
          <w:color w:val="000000" w:themeColor="text1"/>
          <w14:textFill>
            <w14:solidFill>
              <w14:schemeClr w14:val="tx1"/>
            </w14:solidFill>
          </w14:textFill>
        </w:rPr>
        <w:t xml:space="preserve"> 年</w: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35" cy="0"/>
                <wp:effectExtent l="0" t="4445" r="0" b="5080"/>
                <wp:docPr id="4"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strokeweight="0.75pt">
                <v:stroke dashstyle="solid"/>
              </v:shape>
            </w:pict>
          </mc:Fallback>
        </mc:AlternateContent>
      </w:r>
      <w:r>
        <w:rPr>
          <w:color w:val="000000" w:themeColor="text1"/>
          <w14:textFill>
            <w14:solidFill>
              <w14:schemeClr w14:val="tx1"/>
            </w14:solidFill>
          </w14:textFill>
        </w:rPr>
        <w:t xml:space="preserve"> 月</w:t>
      </w:r>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35" cy="0"/>
                <wp:effectExtent l="0" t="4445" r="0" b="5080"/>
                <wp:docPr id="5"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shape>
            </w:pict>
          </mc:Fallback>
        </mc:AlternateContent>
      </w:r>
      <w:r>
        <w:rPr>
          <w:color w:val="000000" w:themeColor="text1"/>
          <w14:textFill>
            <w14:solidFill>
              <w14:schemeClr w14:val="tx1"/>
            </w14:solidFill>
          </w14:textFill>
        </w:rPr>
        <w:t xml:space="preserve"> 日</w:t>
      </w:r>
      <w:r/>
    </w:p>
    <w:p>
      <w:pPr>
        <w:pStyle w:val="785"/>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785"/>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785"/>
        <w:jc w:val="center"/>
        <w:spacing w:beforeAutospacing="0" w:afterAutospacing="0"/>
        <w:rPr>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r>
      <w:r/>
    </w:p>
    <w:p>
      <w:pPr>
        <w:pStyle w:val="785"/>
        <w:spacing w:beforeAutospacing="0" w:afterAutospacing="0"/>
        <w:rPr>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r>
      <w:r/>
    </w:p>
    <w:p>
      <w:pPr>
        <w:jc w:val="center"/>
        <w:spacing w:before="50" w:after="50"/>
        <w:widowControl/>
        <w:rPr>
          <w:color w:val="000000" w:themeColor="text1"/>
          <w14:textFill>
            <w14:solidFill>
              <w14:schemeClr w14:val="tx1"/>
            </w14:solidFill>
          </w14:textFill>
        </w:rPr>
      </w:pPr>
      <w:r>
        <w:rPr>
          <w:color w:val="000000" w:themeColor="text1"/>
          <w14:textFill>
            <w14:solidFill>
              <w14:schemeClr w14:val="tx1"/>
            </w14:solidFill>
          </w14:textFill>
        </w:rPr>
        <w:tab/>
      </w:r>
      <w:r/>
    </w:p>
    <w:p>
      <w:pPr>
        <w:pStyle w:val="1005"/>
        <w:ind w:firstLine="420"/>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jc w:val="center"/>
        <w:spacing w:before="50" w:after="50"/>
        <w:rPr>
          <w:rFonts w:ascii="黑体" w:eastAsia="黑体"/>
          <w:color w:val="000000" w:themeColor="text1"/>
          <w:sz w:val="32"/>
          <w:szCs w:val="32"/>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 xml:space="preserve">十五、技术方案等</w:t>
      </w:r>
      <w:r/>
    </w:p>
    <w:p>
      <w:pPr>
        <w:pStyle w:val="785"/>
        <w:jc w:val="center"/>
        <w:spacing w:beforeAutospacing="0" w:afterAutospacing="0"/>
        <w:rPr>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r>
      <w:r/>
    </w:p>
    <w:p>
      <w:pPr>
        <w:pStyle w:val="785"/>
        <w:jc w:val="center"/>
        <w:spacing w:beforeAutospacing="0" w:afterAutospacing="0"/>
        <w:rPr>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r>
      <w:r/>
    </w:p>
    <w:p>
      <w:pPr>
        <w:pStyle w:val="785"/>
        <w:jc w:val="center"/>
        <w:spacing w:beforeAutospacing="0" w:afterAutospacing="0"/>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 xml:space="preserve">（详见</w:t>
      </w:r>
      <w:r>
        <w:rPr>
          <w:rFonts w:hint="eastAsia"/>
          <w:b/>
          <w:color w:val="000000" w:themeColor="text1"/>
          <w:sz w:val="32"/>
          <w:szCs w:val="32"/>
          <w14:textFill>
            <w14:solidFill>
              <w14:schemeClr w14:val="tx1"/>
            </w14:solidFill>
          </w14:textFill>
        </w:rPr>
        <w:t xml:space="preserve">采购</w:t>
      </w:r>
      <w:r>
        <w:rPr>
          <w:rFonts w:hint="eastAsia"/>
          <w:b/>
          <w:color w:val="000000" w:themeColor="text1"/>
          <w:sz w:val="32"/>
          <w:szCs w:val="32"/>
          <w14:textFill>
            <w14:solidFill>
              <w14:schemeClr w14:val="tx1"/>
            </w14:solidFill>
          </w14:textFill>
        </w:rPr>
        <w:t xml:space="preserve">需求</w:t>
      </w:r>
      <w:r>
        <w:rPr>
          <w:rFonts w:hint="eastAsia"/>
          <w:b/>
          <w:color w:val="000000" w:themeColor="text1"/>
          <w:sz w:val="32"/>
          <w:szCs w:val="32"/>
          <w14:textFill>
            <w14:solidFill>
              <w14:schemeClr w14:val="tx1"/>
            </w14:solidFill>
          </w14:textFill>
        </w:rPr>
        <w:t xml:space="preserve">及</w:t>
      </w:r>
      <w:r>
        <w:rPr>
          <w:rFonts w:hint="eastAsia"/>
          <w:b/>
          <w:color w:val="000000" w:themeColor="text1"/>
          <w:sz w:val="32"/>
          <w:szCs w:val="32"/>
          <w14:textFill>
            <w14:solidFill>
              <w14:schemeClr w14:val="tx1"/>
            </w14:solidFill>
          </w14:textFill>
        </w:rPr>
        <w:t xml:space="preserve">评标办法部分的要求）</w:t>
      </w:r>
      <w:r/>
    </w:p>
    <w:p>
      <w:pPr>
        <w:pStyle w:val="785"/>
        <w:jc w:val="center"/>
        <w:spacing w:beforeAutospacing="0" w:afterAutospacing="0"/>
        <w:rPr>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r>
      <w:r/>
    </w:p>
    <w:p>
      <w:pPr>
        <w:jc w:val="left"/>
        <w:widowControl/>
        <w:rPr>
          <w:rFonts w:ascii="宋体" w:hAnsi="宋体"/>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br w:type="page" w:clear="all"/>
      </w:r>
      <w:r/>
    </w:p>
    <w:p>
      <w:pPr>
        <w:pStyle w:val="785"/>
        <w:jc w:val="center"/>
        <w:spacing w:beforeAutospacing="0" w:afterAutospacing="0"/>
        <w:rPr>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r>
      <w:r/>
    </w:p>
    <w:p>
      <w:pPr>
        <w:pStyle w:val="785"/>
        <w:jc w:val="center"/>
        <w:spacing w:beforeAutospacing="0" w:afterAutospacing="0"/>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 xml:space="preserve">十六、盐城市政府采购事前信用承诺书 </w:t>
      </w:r>
      <w:r/>
    </w:p>
    <w:p>
      <w:pPr>
        <w:ind w:firstLine="480"/>
        <w:jc w:val="left"/>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（四）严格遵守即时信息公示规定，及时维护和更新盐城市政府采购网中与本单位相关的信息；</w:t>
      </w:r>
      <w:r/>
    </w:p>
    <w:p>
      <w:pPr>
        <w:jc w:val="left"/>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（八）本人已认真阅读了上述承诺，并向本单位员工做了宣传教育。</w:t>
      </w:r>
      <w:r/>
    </w:p>
    <w:p>
      <w:pPr>
        <w:ind w:firstLine="240"/>
        <w:jc w:val="left"/>
        <w:spacing w:line="360" w:lineRule="auto"/>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1005"/>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60" w:lineRule="auto"/>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法定代表人签名：</w:t>
      </w:r>
      <w:r/>
    </w:p>
    <w:p>
      <w:pPr>
        <w:jc w:val="center"/>
        <w:spacing w:line="360" w:lineRule="auto"/>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单位名称（盖章）：</w:t>
      </w:r>
      <w:r/>
    </w:p>
    <w:p>
      <w:pPr>
        <w:jc w:val="center"/>
        <w:spacing w:line="360" w:lineRule="auto"/>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年 月 日</w:t>
      </w:r>
      <w:r/>
    </w:p>
    <w:p>
      <w:pPr>
        <w:jc w:val="left"/>
        <w:widowControl/>
        <w:rPr>
          <w:rFonts w:ascii="宋体" w:hAnsi="宋体"/>
          <w:b/>
          <w:color w:val="000000" w:themeColor="text1"/>
          <w:sz w:val="32"/>
          <w:szCs w:val="32"/>
          <w14:textFill>
            <w14:solidFill>
              <w14:schemeClr w14:val="tx1"/>
            </w14:solidFill>
          </w14:textFill>
        </w:rPr>
      </w:pPr>
      <w:r/>
      <w:bookmarkStart w:id="147" w:name="_Hlk132197618"/>
      <w:r>
        <w:rPr>
          <w:rFonts w:hint="eastAsia" w:ascii="宋体" w:hAnsi="宋体"/>
          <w:b/>
          <w:color w:val="000000" w:themeColor="text1"/>
          <w:sz w:val="32"/>
          <w:szCs w:val="32"/>
          <w14:textFill>
            <w14:solidFill>
              <w14:schemeClr w14:val="tx1"/>
            </w14:solidFill>
          </w14:textFill>
        </w:rPr>
        <w:br w:type="page" w:clear="all"/>
      </w:r>
      <w:r/>
    </w:p>
    <w:p>
      <w:pPr>
        <w:jc w:val="center"/>
        <w:spacing w:after="240" w:line="560" w:lineRule="exact"/>
        <w:rPr>
          <w:rFonts w:ascii="黑体" w:eastAsia="黑体"/>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十七、人员配备一览表</w:t>
      </w:r>
      <w:bookmarkEnd w:id="147"/>
      <w:r/>
      <w:r/>
    </w:p>
    <w:tbl>
      <w:tblPr>
        <w:tblStyle w:val="751"/>
        <w:tblW w:w="906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25"/>
        <w:gridCol w:w="3193"/>
        <w:gridCol w:w="2061"/>
        <w:gridCol w:w="2686"/>
      </w:tblGrid>
      <w:tr>
        <w:trPr>
          <w:jc w:val="center"/>
          <w:trHeight w:val="657"/>
        </w:trPr>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岗位</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执业资格</w:t>
            </w:r>
            <w:r/>
          </w:p>
        </w:tc>
      </w:tr>
      <w:tr>
        <w:trPr>
          <w:jc w:val="center"/>
          <w:trHeight w:val="657"/>
        </w:trPr>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ascii="宋体" w:hAnsi="宋体"/>
                <w:color w:val="000000" w:themeColor="text1"/>
                <w:sz w:val="24"/>
                <w14:textFill>
                  <w14:solidFill>
                    <w14:schemeClr w14:val="tx1"/>
                  </w14:solidFill>
                </w14:textFill>
              </w:rPr>
            </w:pPr>
            <w:r>
              <w:rPr>
                <w:rFonts w:hint="eastAsia" w:ascii="宋体" w:hAnsi="宋体" w:cs="Courier New"/>
                <w:color w:val="000000" w:themeColor="text1"/>
                <w:sz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val="false"/>
          </w:tcPr>
          <w:p>
            <w:pPr>
              <w:jc w:val="center"/>
              <w:widowControl/>
              <w:rPr>
                <w:rFonts w:ascii="宋体" w:hAnsi="宋体"/>
                <w:color w:val="000000" w:themeColor="text1"/>
                <w:sz w:val="24"/>
                <w14:textFill>
                  <w14:solidFill>
                    <w14:schemeClr w14:val="tx1"/>
                  </w14:solidFill>
                </w14:textFill>
              </w:rPr>
            </w:pPr>
            <w:r>
              <w:rPr>
                <w:rFonts w:hint="eastAsia" w:ascii="宋体" w:hAnsi="宋体" w:cs="Courier New"/>
                <w:color w:val="000000" w:themeColor="text1"/>
                <w:sz w:val="24"/>
                <w14:textFill>
                  <w14:solidFill>
                    <w14:schemeClr w14:val="tx1"/>
                  </w14:solidFill>
                </w14:textFill>
              </w:rPr>
              <w:t xml:space="preserve">项目负责人</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before="100" w:beforeAutospacing="1" w:after="100" w:afterAutospacing="1"/>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spacing w:before="100" w:beforeAutospacing="1" w:after="100" w:afterAutospacing="1"/>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jc w:val="center"/>
          <w:trHeight w:val="657"/>
        </w:trPr>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ascii="宋体" w:hAnsi="宋体" w:cs="Courier New"/>
                <w:color w:val="000000" w:themeColor="text1"/>
                <w:sz w:val="24"/>
                <w14:textFill>
                  <w14:solidFill>
                    <w14:schemeClr w14:val="tx1"/>
                  </w14:solidFill>
                </w14:textFill>
              </w:rPr>
            </w:pPr>
            <w:r>
              <w:rPr>
                <w:rFonts w:hint="eastAsia" w:ascii="宋体" w:hAnsi="宋体" w:cs="Courier New"/>
                <w:color w:val="000000" w:themeColor="text1"/>
                <w:sz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val="false"/>
          </w:tcPr>
          <w:p>
            <w:pPr>
              <w:jc w:val="center"/>
              <w:widowControl/>
              <w:rPr>
                <w:rFonts w:ascii="宋体" w:hAnsi="宋体" w:cs="Courier New"/>
                <w:color w:val="000000" w:themeColor="text1"/>
                <w:sz w:val="24"/>
                <w14:textFill>
                  <w14:solidFill>
                    <w14:schemeClr w14:val="tx1"/>
                  </w14:solidFill>
                </w14:textFill>
              </w:rPr>
            </w:pPr>
            <w:r>
              <w:rPr>
                <w:rFonts w:hint="eastAsia" w:ascii="宋体" w:hAnsi="宋体" w:cs="Courier New"/>
                <w:color w:val="000000" w:themeColor="text1"/>
                <w:sz w:val="24"/>
                <w14:textFill>
                  <w14:solidFill>
                    <w14:schemeClr w14:val="tx1"/>
                  </w14:solidFill>
                </w14:textFill>
              </w:rPr>
              <w:t xml:space="preserve">其他人员</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before="100" w:beforeAutospacing="1" w:after="100" w:afterAutospacing="1"/>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spacing w:before="100" w:beforeAutospacing="1" w:after="100" w:afterAutospacing="1"/>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jc w:val="center"/>
          <w:trHeight w:val="657"/>
        </w:trPr>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ascii="宋体" w:hAnsi="宋体" w:cs="Courier New"/>
                <w:color w:val="000000" w:themeColor="text1"/>
                <w:sz w:val="24"/>
                <w14:textFill>
                  <w14:solidFill>
                    <w14:schemeClr w14:val="tx1"/>
                  </w14:solidFill>
                </w14:textFill>
              </w:rPr>
            </w:pPr>
            <w:r>
              <w:rPr>
                <w:rFonts w:ascii="宋体" w:hAnsi="宋体" w:cs="Courier New"/>
                <w:color w:val="000000" w:themeColor="text1"/>
                <w:sz w:val="24"/>
                <w:szCs w:val="18"/>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val="false"/>
          </w:tcPr>
          <w:p>
            <w:pPr>
              <w:jc w:val="center"/>
              <w:widowControl/>
              <w:rPr>
                <w:rFonts w:ascii="宋体" w:hAnsi="宋体" w:cs="Courier New"/>
                <w:color w:val="000000" w:themeColor="text1"/>
                <w:sz w:val="24"/>
                <w14:textFill>
                  <w14:solidFill>
                    <w14:schemeClr w14:val="tx1"/>
                  </w14:solidFill>
                </w14:textFill>
              </w:rPr>
            </w:pPr>
            <w:r>
              <w:rPr>
                <w:rFonts w:ascii="宋体" w:hAnsi="宋体" w:cs="Courier New"/>
                <w:color w:val="000000" w:themeColor="text1"/>
                <w:sz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before="100" w:beforeAutospacing="1" w:after="100" w:afterAutospacing="1"/>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spacing w:before="100" w:beforeAutospacing="1" w:after="100" w:afterAutospacing="1"/>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jc w:val="center"/>
          <w:trHeight w:val="657"/>
        </w:trPr>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ascii="宋体" w:hAnsi="宋体" w:cs="Courier New"/>
                <w:color w:val="000000" w:themeColor="text1"/>
                <w:sz w:val="24"/>
                <w14:textFill>
                  <w14:solidFill>
                    <w14:schemeClr w14:val="tx1"/>
                  </w14:solidFill>
                </w14:textFill>
              </w:rPr>
            </w:pPr>
            <w:r>
              <w:rPr>
                <w:rFonts w:ascii="宋体" w:hAnsi="宋体" w:cs="Courier New"/>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93" w:type="dxa"/>
            <w:vAlign w:val="center"/>
            <w:textDirection w:val="lrTb"/>
            <w:noWrap w:val="false"/>
          </w:tcPr>
          <w:p>
            <w:pPr>
              <w:jc w:val="center"/>
              <w:widowControl/>
              <w:rPr>
                <w:rFonts w:ascii="宋体" w:hAnsi="宋体" w:cs="Courier New"/>
                <w:color w:val="000000" w:themeColor="text1"/>
                <w:sz w:val="24"/>
                <w14:textFill>
                  <w14:solidFill>
                    <w14:schemeClr w14:val="tx1"/>
                  </w14:solidFill>
                </w14:textFill>
              </w:rPr>
            </w:pPr>
            <w:r>
              <w:rPr>
                <w:rFonts w:ascii="宋体" w:hAnsi="宋体" w:cs="Courier New"/>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before="100" w:beforeAutospacing="1" w:after="100" w:afterAutospacing="1"/>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spacing w:before="100" w:beforeAutospacing="1" w:after="100" w:afterAutospacing="1"/>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bl>
    <w:p>
      <w:pPr>
        <w:jc w:val="left"/>
        <w:spacing w:line="50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jc w:val="left"/>
        <w:spacing w:line="50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注：投标人可以根据需要自行拓展本表。</w:t>
      </w:r>
      <w:r/>
    </w:p>
    <w:p>
      <w:pPr>
        <w:spacing w:line="360" w:lineRule="auto"/>
        <w:rPr>
          <w:rFonts w:ascii="宋体" w:hAnsi="宋体"/>
          <w:color w:val="000000" w:themeColor="text1"/>
          <w:szCs w:val="20"/>
          <w14:textFill>
            <w14:solidFill>
              <w14:schemeClr w14:val="tx1"/>
            </w14:solidFill>
          </w14:textFill>
        </w:rPr>
      </w:pPr>
      <w:r>
        <w:rPr>
          <w:rFonts w:ascii="宋体" w:hAnsi="宋体"/>
          <w:color w:val="000000" w:themeColor="text1"/>
          <w:szCs w:val="20"/>
          <w14:textFill>
            <w14:solidFill>
              <w14:schemeClr w14:val="tx1"/>
            </w14:solidFill>
          </w14:textFill>
        </w:rPr>
      </w:r>
      <w:r/>
    </w:p>
    <w:p>
      <w:pPr>
        <w:jc w:val="left"/>
        <w:spacing w:line="50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投标方：（单位盖章）</w:t>
      </w:r>
      <w:r/>
    </w:p>
    <w:p>
      <w:pPr>
        <w:jc w:val="left"/>
        <w:spacing w:line="50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法定代表人或授权委托人：（签字或盖章）</w:t>
      </w:r>
      <w:r/>
    </w:p>
    <w:p>
      <w:pPr>
        <w:jc w:val="left"/>
        <w:spacing w:line="50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w:t>
      </w:r>
      <w:r/>
    </w:p>
    <w:p>
      <w:pPr>
        <w:jc w:val="left"/>
        <w:spacing w:line="50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1005"/>
        <w:ind w:firstLine="420"/>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ascii="宋体" w:eastAsiaTheme="minorEastAsia"/>
          <w:color w:val="000000" w:themeColor="text1"/>
          <w:szCs w:val="20"/>
          <w14:textFill>
            <w14:solidFill>
              <w14:schemeClr w14:val="tx1"/>
            </w14:solidFill>
          </w14:textFill>
        </w:rPr>
      </w:pPr>
      <w:r>
        <w:rPr>
          <w:rFonts w:eastAsiaTheme="minorEastAsia"/>
          <w:color w:val="000000" w:themeColor="text1"/>
          <w14:textFill>
            <w14:solidFill>
              <w14:schemeClr w14:val="tx1"/>
            </w14:solidFill>
          </w14:textFill>
        </w:rPr>
        <w:br w:type="page" w:clear="all"/>
      </w:r>
      <w:r/>
    </w:p>
    <w:p>
      <w:pPr>
        <w:pStyle w:val="785"/>
        <w:spacing w:before="0" w:beforeAutospacing="0" w:after="0" w:afterAutospacing="0"/>
        <w:rPr>
          <w:color w:val="000000" w:themeColor="text1"/>
          <w:sz w:val="36"/>
          <w:szCs w:val="36"/>
          <w14:textFill>
            <w14:solidFill>
              <w14:schemeClr w14:val="tx1"/>
            </w14:solidFill>
          </w14:textFill>
        </w:rPr>
      </w:pPr>
      <w:r>
        <w:rPr>
          <w:rFonts w:hint="eastAsia"/>
          <w:color w:val="000000" w:themeColor="text1"/>
          <w:sz w:val="36"/>
          <w:szCs w:val="36"/>
          <w14:textFill>
            <w14:solidFill>
              <w14:schemeClr w14:val="tx1"/>
            </w14:solidFill>
          </w14:textFill>
        </w:rPr>
        <w:t xml:space="preserve">十八、招标文件中规定要求提供的其他证明材料和投标人认为需要提供的其他材料</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005"/>
        <w:ind w:firstLine="420"/>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85"/>
        <w:jc w:val="center"/>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ascii="宋体" w:hAnsi="宋体"/>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br w:type="page" w:clear="all"/>
      </w:r>
      <w:r/>
    </w:p>
    <w:p>
      <w:pPr>
        <w:pStyle w:val="785"/>
        <w:jc w:val="center"/>
        <w:spacing w:beforeAutospacing="0" w:afterAutospacing="0"/>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 xml:space="preserve">质疑函范本</w:t>
      </w:r>
      <w:r/>
    </w:p>
    <w:p>
      <w:pPr>
        <w:pStyle w:val="785"/>
        <w:jc w:val="both"/>
        <w:spacing w:before="290" w:beforeAutospacing="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一、质疑投标人基本信息</w:t>
      </w:r>
      <w:r/>
    </w:p>
    <w:p>
      <w:pPr>
        <w:pStyle w:val="785"/>
        <w:jc w:val="both"/>
        <w:spacing w:beforeAutospacing="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质疑投标人：</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785"/>
        <w:jc w:val="both"/>
        <w:spacing w:beforeAutospacing="0" w:afterAutospacing="0"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地址：</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785"/>
        <w:jc w:val="both"/>
        <w:spacing w:beforeAutospacing="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邮编：</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785"/>
        <w:jc w:val="both"/>
        <w:spacing w:beforeAutospacing="0" w:afterAutospacing="0"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联系人：</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785"/>
        <w:jc w:val="both"/>
        <w:spacing w:beforeAutospacing="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联系电话：</w:t>
      </w:r>
      <w:r>
        <w:rPr>
          <w:rFonts w:hint="eastAsia"/>
          <w:color w:val="000000" w:themeColor="text1"/>
          <w:u w:val="single"/>
          <w14:textFill>
            <w14:solidFill>
              <w14:schemeClr w14:val="tx1"/>
            </w14:solidFill>
          </w14:textFill>
        </w:rPr>
        <w:t xml:space="preserve">                                           </w:t>
      </w:r>
      <w:r/>
    </w:p>
    <w:p>
      <w:pPr>
        <w:pStyle w:val="785"/>
        <w:jc w:val="both"/>
        <w:spacing w:beforeAutospacing="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授权代表：</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785"/>
        <w:jc w:val="both"/>
        <w:spacing w:beforeAutospacing="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联系电话：</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785"/>
        <w:jc w:val="both"/>
        <w:spacing w:beforeAutospacing="0" w:afterAutospacing="0"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地址： </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785"/>
        <w:jc w:val="both"/>
        <w:spacing w:beforeAutospacing="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邮编：</w:t>
      </w:r>
      <w:r>
        <w:rPr>
          <w:rFonts w:hint="eastAsia"/>
          <w:color w:val="000000" w:themeColor="text1"/>
          <w:u w:val="single"/>
          <w14:textFill>
            <w14:solidFill>
              <w14:schemeClr w14:val="tx1"/>
            </w14:solidFill>
          </w14:textFill>
        </w:rPr>
        <w:t xml:space="preserve">                                </w:t>
      </w:r>
      <w:r/>
    </w:p>
    <w:p>
      <w:pPr>
        <w:pStyle w:val="785"/>
        <w:jc w:val="both"/>
        <w:spacing w:beforeAutospacing="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二、质疑项目基本情况</w:t>
      </w:r>
      <w:r/>
    </w:p>
    <w:p>
      <w:pPr>
        <w:pStyle w:val="785"/>
        <w:jc w:val="both"/>
        <w:spacing w:beforeAutospacing="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质疑项目的名称：</w:t>
      </w:r>
      <w:r>
        <w:rPr>
          <w:rFonts w:hint="eastAsia"/>
          <w:color w:val="000000" w:themeColor="text1"/>
          <w:u w:val="single"/>
          <w14:textFill>
            <w14:solidFill>
              <w14:schemeClr w14:val="tx1"/>
            </w14:solidFill>
          </w14:textFill>
        </w:rPr>
        <w:t xml:space="preserve">                            </w:t>
      </w:r>
      <w:r/>
    </w:p>
    <w:p>
      <w:pPr>
        <w:pStyle w:val="785"/>
        <w:jc w:val="both"/>
        <w:spacing w:beforeAutospacing="0" w:afterAutospacing="0"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质疑项目的编号：</w:t>
      </w:r>
      <w:r>
        <w:rPr>
          <w:rFonts w:hint="eastAsia"/>
          <w:color w:val="000000" w:themeColor="text1"/>
          <w:u w:val="single"/>
          <w14:textFill>
            <w14:solidFill>
              <w14:schemeClr w14:val="tx1"/>
            </w14:solidFill>
          </w14:textFill>
        </w:rPr>
        <w:t xml:space="preserve">                          </w:t>
      </w:r>
      <w:r/>
    </w:p>
    <w:p>
      <w:pPr>
        <w:pStyle w:val="785"/>
        <w:jc w:val="both"/>
        <w:spacing w:beforeAutospacing="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包号：</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785"/>
        <w:jc w:val="both"/>
        <w:spacing w:beforeAutospacing="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采购人名称：</w:t>
      </w:r>
      <w:r>
        <w:rPr>
          <w:rFonts w:hint="eastAsia"/>
          <w:color w:val="000000" w:themeColor="text1"/>
          <w:u w:val="single"/>
          <w14:textFill>
            <w14:solidFill>
              <w14:schemeClr w14:val="tx1"/>
            </w14:solidFill>
          </w14:textFill>
        </w:rPr>
        <w:t xml:space="preserve">                            </w:t>
      </w:r>
      <w:r/>
    </w:p>
    <w:p>
      <w:pPr>
        <w:pStyle w:val="785"/>
        <w:jc w:val="both"/>
        <w:spacing w:beforeAutospacing="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采购文件获取日期：</w:t>
      </w:r>
      <w:r>
        <w:rPr>
          <w:rFonts w:hint="eastAsia"/>
          <w:color w:val="000000" w:themeColor="text1"/>
          <w:u w:val="single"/>
          <w14:textFill>
            <w14:solidFill>
              <w14:schemeClr w14:val="tx1"/>
            </w14:solidFill>
          </w14:textFill>
        </w:rPr>
        <w:t xml:space="preserve">                             </w:t>
      </w:r>
      <w:r/>
    </w:p>
    <w:p>
      <w:pPr>
        <w:pStyle w:val="785"/>
        <w:jc w:val="both"/>
        <w:spacing w:beforeAutospacing="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三、质疑事项具体内容</w:t>
      </w:r>
      <w:r/>
    </w:p>
    <w:p>
      <w:pPr>
        <w:pStyle w:val="785"/>
        <w:jc w:val="both"/>
        <w:spacing w:beforeAutospacing="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质疑事项1：</w:t>
      </w:r>
      <w:r>
        <w:rPr>
          <w:rFonts w:hint="eastAsia"/>
          <w:color w:val="000000" w:themeColor="text1"/>
          <w:u w:val="single"/>
          <w14:textFill>
            <w14:solidFill>
              <w14:schemeClr w14:val="tx1"/>
            </w14:solidFill>
          </w14:textFill>
        </w:rPr>
        <w:t xml:space="preserve">                             </w:t>
      </w:r>
      <w:r/>
    </w:p>
    <w:p>
      <w:pPr>
        <w:pStyle w:val="785"/>
        <w:spacing w:beforeAutospacing="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事实依据：</w:t>
      </w:r>
      <w:r>
        <w:rPr>
          <w:rFonts w:hint="eastAsia"/>
          <w:color w:val="000000" w:themeColor="text1"/>
          <w:u w:val="single"/>
          <w14:textFill>
            <w14:solidFill>
              <w14:schemeClr w14:val="tx1"/>
            </w14:solidFill>
          </w14:textFill>
        </w:rPr>
        <w:t xml:space="preserve">                                                   </w:t>
      </w:r>
      <w:r/>
    </w:p>
    <w:p>
      <w:pPr>
        <w:pStyle w:val="785"/>
        <w:jc w:val="both"/>
        <w:spacing w:beforeAutospacing="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法律依据：</w:t>
      </w:r>
      <w:r>
        <w:rPr>
          <w:rFonts w:hint="eastAsia"/>
          <w:color w:val="000000" w:themeColor="text1"/>
          <w:u w:val="single"/>
          <w14:textFill>
            <w14:solidFill>
              <w14:schemeClr w14:val="tx1"/>
            </w14:solidFill>
          </w14:textFill>
        </w:rPr>
        <w:t xml:space="preserve">                                                    </w:t>
      </w:r>
      <w:r/>
    </w:p>
    <w:p>
      <w:pPr>
        <w:pStyle w:val="785"/>
        <w:jc w:val="both"/>
        <w:spacing w:beforeAutospacing="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质疑事项2</w:t>
      </w:r>
      <w:r/>
    </w:p>
    <w:p>
      <w:pPr>
        <w:pStyle w:val="785"/>
        <w:jc w:val="both"/>
        <w:spacing w:beforeAutospacing="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pStyle w:val="785"/>
        <w:jc w:val="both"/>
        <w:spacing w:beforeAutospacing="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四、与质疑事项相关的质疑请求</w:t>
      </w:r>
      <w:r/>
    </w:p>
    <w:p>
      <w:pPr>
        <w:pStyle w:val="785"/>
        <w:jc w:val="both"/>
        <w:spacing w:beforeAutospacing="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请求：</w:t>
      </w:r>
      <w:r>
        <w:rPr>
          <w:rFonts w:hint="eastAsia"/>
          <w:color w:val="000000" w:themeColor="text1"/>
          <w:u w:val="single"/>
          <w14:textFill>
            <w14:solidFill>
              <w14:schemeClr w14:val="tx1"/>
            </w14:solidFill>
          </w14:textFill>
        </w:rPr>
        <w:t xml:space="preserve">                                                          </w:t>
      </w:r>
      <w:r/>
    </w:p>
    <w:p>
      <w:pPr>
        <w:pStyle w:val="785"/>
        <w:jc w:val="both"/>
        <w:spacing w:beforeAutospacing="0" w:afterAutospacing="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签字（签章）：                 公章：               日期：    </w:t>
      </w:r>
      <w:r/>
    </w:p>
    <w:p>
      <w:pPr>
        <w:pStyle w:val="785"/>
        <w:jc w:val="both"/>
        <w:spacing w:beforeAutospacing="0" w:afterAutospacing="0" w:line="0" w:lineRule="atLeast"/>
        <w:rPr>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质疑函制作说明：</w:t>
      </w:r>
      <w:r/>
    </w:p>
    <w:p>
      <w:pPr>
        <w:pStyle w:val="785"/>
        <w:ind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1.投标人提出质疑时，应提交质疑函和必要的证明材料。</w:t>
      </w:r>
      <w:r/>
    </w:p>
    <w:p>
      <w:pPr>
        <w:pStyle w:val="785"/>
        <w:ind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785"/>
        <w:ind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3.质疑投标人若对项目的某一分包进行质疑，质疑函中应列明具体分包号。</w:t>
      </w:r>
      <w:r/>
    </w:p>
    <w:p>
      <w:pPr>
        <w:pStyle w:val="785"/>
        <w:ind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4.质疑函的质疑事项应具体、明确，并有必要的事实依据和法律依据。</w:t>
      </w:r>
      <w:r/>
    </w:p>
    <w:p>
      <w:pPr>
        <w:pStyle w:val="785"/>
        <w:ind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5.质疑函的质疑请求应与质疑事项相关。</w:t>
      </w:r>
      <w:r/>
    </w:p>
    <w:p>
      <w:pPr>
        <w:pStyle w:val="785"/>
        <w:ind w:firstLine="480"/>
        <w:spacing w:beforeAutospacing="0" w:afterAutospacing="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6.质疑投标人为自然人的，质疑函应由本人签字；质疑投标人为法人或者其他组织的，质疑函应由法定代表人、主要负责人，或者其授权代表签字或者盖章，并加盖公章。</w:t>
      </w:r>
      <w:r/>
    </w:p>
    <w:p>
      <w:pPr>
        <w:pStyle w:val="785"/>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color w:val="000000" w:themeColor="text1"/>
          <w14:textFill>
            <w14:solidFill>
              <w14:schemeClr w14:val="tx1"/>
            </w14:solidFill>
          </w14:textFill>
        </w:rPr>
      </w:pPr>
      <w:r/>
      <w:bookmarkStart w:id="148" w:name="_Hlt26782999"/>
      <w:r/>
      <w:bookmarkEnd w:id="148"/>
      <w:r/>
      <w:bookmarkStart w:id="149" w:name="_Hlt26955064"/>
      <w:r/>
      <w:bookmarkEnd w:id="149"/>
      <w:r/>
      <w:bookmarkStart w:id="150" w:name="_Hlt26580838"/>
      <w:r/>
      <w:bookmarkEnd w:id="150"/>
      <w:r/>
      <w:bookmarkStart w:id="151" w:name="_Hlt26955056"/>
      <w:r/>
      <w:bookmarkEnd w:id="151"/>
      <w:r/>
      <w:bookmarkStart w:id="152" w:name="_Hlt26609391"/>
      <w:r/>
      <w:bookmarkEnd w:id="152"/>
      <w:r/>
      <w:bookmarkStart w:id="153" w:name="_Hlt24879081"/>
      <w:r/>
      <w:bookmarkEnd w:id="153"/>
      <w:r/>
      <w:bookmarkStart w:id="154" w:name="_Hlt26671343"/>
      <w:r/>
      <w:bookmarkEnd w:id="154"/>
      <w:r/>
      <w:bookmarkStart w:id="155" w:name="_Hlt26671372"/>
      <w:r/>
      <w:bookmarkEnd w:id="155"/>
      <w:r/>
      <w:r/>
    </w:p>
    <w:p>
      <w:pPr>
        <w:ind w:firstLine="723"/>
        <w:jc w:val="center"/>
        <w:spacing w:line="500" w:lineRule="exact"/>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r>
      <w:r/>
    </w:p>
    <w:sectPr>
      <w:footerReference w:type="default" r:id="rId12"/>
      <w:footerReference w:type="first" r:id="rId13"/>
      <w:footnotePr/>
      <w:endnotePr/>
      <w:type w:val="nextPage"/>
      <w:pgSz w:w="11906" w:h="16838" w:orient="portrait"/>
      <w:pgMar w:top="964" w:right="1196" w:bottom="964" w:left="1196" w:header="851" w:footer="56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新宋体">
    <w:panose1 w:val="02010609030101010101"/>
  </w:font>
  <w:font w:name="Symbol">
    <w:panose1 w:val="05050102010706020507"/>
  </w:font>
  <w:font w:name="Wingdings">
    <w:panose1 w:val="05000000000000000000"/>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rPr>
        <w:rStyle w:val="794"/>
      </w:rPr>
      <w:framePr w:wrap="around" w:vAnchor="text" w:hAnchor="margin" w:xAlign="center" w:y="1"/>
    </w:pPr>
    <w:r>
      <w:fldChar w:fldCharType="begin"/>
    </w:r>
    <w:r>
      <w:rPr>
        <w:rStyle w:val="794"/>
      </w:rPr>
      <w:instrText xml:space="preserve">PAGE  </w:instrText>
    </w:r>
    <w:r>
      <w:fldChar w:fldCharType="separate"/>
    </w:r>
    <w:r>
      <w:rPr>
        <w:rStyle w:val="794"/>
      </w:rPr>
      <w:t xml:space="preserve">1</w:t>
    </w:r>
    <w:r>
      <w:fldChar w:fldCharType="end"/>
    </w:r>
    <w:r/>
  </w:p>
  <w:p>
    <w:pPr>
      <w:pStyle w:val="7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51531512"/>
      <w:rPr/>
    </w:sdtPr>
    <w:sdtContent>
      <w:p>
        <w:pPr>
          <w:pStyle w:val="771"/>
          <w:jc w:val="center"/>
        </w:pPr>
        <w:r>
          <w:rPr>
            <w:rFonts w:asciiTheme="minorEastAsia" w:hAnsiTheme="minorEastAsia" w:eastAsiaTheme="minorEastAsia"/>
          </w:rPr>
          <w:fldChar w:fldCharType="begin"/>
        </w:r>
        <w:r>
          <w:rPr>
            <w:rFonts w:asciiTheme="minorEastAsia" w:hAnsiTheme="minorEastAsia" w:eastAsiaTheme="minorEastAsia"/>
          </w:rPr>
          <w:instrText xml:space="preserve">PAGE   \* MERGEFORMAT</w:instrText>
        </w:r>
        <w:r>
          <w:rPr>
            <w:rFonts w:asciiTheme="minorEastAsia" w:hAnsiTheme="minorEastAsia" w:eastAsiaTheme="minorEastAsia"/>
          </w:rPr>
          <w:fldChar w:fldCharType="separate"/>
        </w:r>
        <w:r>
          <w:rPr>
            <w:rFonts w:asciiTheme="minorEastAsia" w:hAnsiTheme="minorEastAsia" w:eastAsiaTheme="minorEastAsia"/>
            <w:lang w:val="zh-CN"/>
          </w:rPr>
          <w:t xml:space="preserve">24</w:t>
        </w:r>
        <w:r>
          <w:rPr>
            <w:rFonts w:asciiTheme="minorEastAsia" w:hAnsiTheme="minorEastAsia" w:eastAsiaTheme="minorEastAsia"/>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Bdr>
        <w:bottom w:val="none" w:color="auto" w:sz="0" w:space="1"/>
      </w:pBdr>
    </w:pPr>
    <w:r>
      <w:rPr>
        <w:rFonts w:hint="eastAsia" w:eastAsia="隶书"/>
        <w:color w:val="000000"/>
        <w:spacing w:val="40"/>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ind w:left="26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6 Char"/>
    <w:basedOn w:val="750"/>
    <w:link w:val="746"/>
    <w:uiPriority w:val="9"/>
    <w:rPr>
      <w:rFonts w:ascii="Arial" w:hAnsi="Arial" w:eastAsia="Arial" w:cs="Arial"/>
      <w:b/>
      <w:bCs/>
      <w:sz w:val="22"/>
      <w:szCs w:val="22"/>
    </w:rPr>
  </w:style>
  <w:style w:type="character" w:styleId="713">
    <w:name w:val="Heading 7 Char"/>
    <w:basedOn w:val="750"/>
    <w:link w:val="747"/>
    <w:uiPriority w:val="9"/>
    <w:rPr>
      <w:rFonts w:ascii="Arial" w:hAnsi="Arial" w:eastAsia="Arial" w:cs="Arial"/>
      <w:b/>
      <w:bCs/>
      <w:i/>
      <w:iCs/>
      <w:sz w:val="22"/>
      <w:szCs w:val="22"/>
    </w:rPr>
  </w:style>
  <w:style w:type="character" w:styleId="714">
    <w:name w:val="Heading 9 Char"/>
    <w:basedOn w:val="750"/>
    <w:link w:val="749"/>
    <w:uiPriority w:val="9"/>
    <w:rPr>
      <w:rFonts w:ascii="Arial" w:hAnsi="Arial" w:eastAsia="Arial" w:cs="Arial"/>
      <w:i/>
      <w:iCs/>
      <w:sz w:val="21"/>
      <w:szCs w:val="21"/>
    </w:rPr>
  </w:style>
  <w:style w:type="character" w:styleId="715">
    <w:name w:val="Subtitle Char"/>
    <w:basedOn w:val="750"/>
    <w:link w:val="775"/>
    <w:uiPriority w:val="11"/>
    <w:rPr>
      <w:sz w:val="24"/>
      <w:szCs w:val="24"/>
    </w:rPr>
  </w:style>
  <w:style w:type="character" w:styleId="716">
    <w:name w:val="Quote Char"/>
    <w:link w:val="812"/>
    <w:uiPriority w:val="29"/>
    <w:rPr>
      <w:i/>
    </w:rPr>
  </w:style>
  <w:style w:type="character" w:styleId="717">
    <w:name w:val="Intense Quote Char"/>
    <w:link w:val="814"/>
    <w:uiPriority w:val="30"/>
    <w:rPr>
      <w:i/>
    </w:rPr>
  </w:style>
  <w:style w:type="table" w:styleId="718">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5">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6">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7">
    <w:name w:val="Footnote Text Char"/>
    <w:link w:val="776"/>
    <w:uiPriority w:val="99"/>
    <w:rPr>
      <w:sz w:val="18"/>
    </w:rPr>
  </w:style>
  <w:style w:type="character" w:styleId="738">
    <w:name w:val="Endnote Text Char"/>
    <w:link w:val="769"/>
    <w:uiPriority w:val="99"/>
    <w:rPr>
      <w:sz w:val="20"/>
    </w:rPr>
  </w:style>
  <w:style w:type="paragraph" w:styleId="739">
    <w:name w:val="TOC Heading"/>
    <w:uiPriority w:val="39"/>
    <w:unhideWhenUsed/>
  </w:style>
  <w:style w:type="paragraph" w:styleId="740"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41">
    <w:name w:val="Heading 1"/>
    <w:basedOn w:val="740"/>
    <w:next w:val="740"/>
    <w:link w:val="988"/>
    <w:uiPriority w:val="0"/>
    <w:qFormat/>
    <w:pPr>
      <w:keepNext/>
      <w:outlineLvl w:val="0"/>
    </w:pPr>
    <w:rPr>
      <w:rFonts w:ascii="楷体_GB2312" w:eastAsia="楷体_GB2312"/>
      <w:sz w:val="28"/>
      <w:szCs w:val="20"/>
    </w:rPr>
  </w:style>
  <w:style w:type="paragraph" w:styleId="742">
    <w:name w:val="Heading 2"/>
    <w:basedOn w:val="740"/>
    <w:next w:val="752"/>
    <w:link w:val="989"/>
    <w:uiPriority w:val="0"/>
    <w:qFormat/>
    <w:pPr>
      <w:jc w:val="center"/>
      <w:keepLines/>
      <w:keepNext/>
      <w:spacing w:line="416" w:lineRule="auto"/>
      <w:outlineLvl w:val="1"/>
    </w:pPr>
    <w:rPr>
      <w:rFonts w:ascii="Arial" w:hAnsi="Arial" w:eastAsia="幼圆"/>
      <w:b/>
      <w:sz w:val="44"/>
      <w:szCs w:val="20"/>
    </w:rPr>
  </w:style>
  <w:style w:type="paragraph" w:styleId="743">
    <w:name w:val="Heading 3"/>
    <w:basedOn w:val="740"/>
    <w:next w:val="740"/>
    <w:uiPriority w:val="0"/>
    <w:qFormat/>
    <w:pPr>
      <w:keepLines/>
      <w:keepNext/>
      <w:spacing w:before="260" w:after="260" w:line="416" w:lineRule="auto"/>
      <w:outlineLvl w:val="2"/>
    </w:pPr>
    <w:rPr>
      <w:b/>
      <w:sz w:val="32"/>
      <w:szCs w:val="20"/>
    </w:rPr>
  </w:style>
  <w:style w:type="paragraph" w:styleId="744">
    <w:name w:val="Heading 4"/>
    <w:basedOn w:val="740"/>
    <w:next w:val="740"/>
    <w:uiPriority w:val="0"/>
    <w:qFormat/>
    <w:pPr>
      <w:keepLines/>
      <w:keepNext/>
      <w:spacing w:before="280" w:after="290" w:line="376" w:lineRule="auto"/>
      <w:outlineLvl w:val="3"/>
    </w:pPr>
    <w:rPr>
      <w:rFonts w:ascii="Arial" w:hAnsi="Arial" w:eastAsia="黑体"/>
      <w:b/>
      <w:bCs/>
      <w:sz w:val="28"/>
      <w:szCs w:val="28"/>
    </w:rPr>
  </w:style>
  <w:style w:type="paragraph" w:styleId="745">
    <w:name w:val="Heading 5"/>
    <w:basedOn w:val="740"/>
    <w:next w:val="740"/>
    <w:uiPriority w:val="0"/>
    <w:qFormat/>
    <w:pPr>
      <w:keepNext/>
      <w:outlineLvl w:val="4"/>
    </w:pPr>
    <w:rPr>
      <w:rFonts w:ascii="宋体" w:hAnsi="宋体"/>
      <w:b/>
      <w:bCs/>
    </w:rPr>
  </w:style>
  <w:style w:type="paragraph" w:styleId="746">
    <w:name w:val="Heading 6"/>
    <w:basedOn w:val="740"/>
    <w:next w:val="740"/>
    <w:link w:val="805"/>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uiPriority w:val="1"/>
    <w:unhideWhenUsed/>
    <w:qFormat/>
    <w:pPr>
      <w:ind w:left="582"/>
      <w:spacing w:before="26"/>
      <w:outlineLvl w:val="7"/>
    </w:pPr>
    <w:rPr>
      <w:rFonts w:hint="eastAsia" w:ascii="宋体" w:hAnsi="宋体"/>
      <w:b/>
      <w:sz w:val="24"/>
    </w:rPr>
  </w:style>
  <w:style w:type="paragraph" w:styleId="749">
    <w:name w:val="Heading 9"/>
    <w:basedOn w:val="740"/>
    <w:next w:val="740"/>
    <w:link w:val="808"/>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style>
  <w:style w:type="table" w:styleId="751" w:default="1">
    <w:name w:val="Normal Table"/>
    <w:uiPriority w:val="99"/>
    <w:semiHidden/>
    <w:unhideWhenUsed/>
    <w:tblPr>
      <w:tblCellMar>
        <w:left w:w="108" w:type="dxa"/>
        <w:top w:w="0" w:type="dxa"/>
        <w:right w:w="108" w:type="dxa"/>
        <w:bottom w:w="0" w:type="dxa"/>
      </w:tblCellMar>
    </w:tblPr>
  </w:style>
  <w:style w:type="paragraph" w:styleId="752">
    <w:name w:val="Normal Indent"/>
    <w:basedOn w:val="740"/>
    <w:link w:val="990"/>
    <w:uiPriority w:val="0"/>
    <w:qFormat/>
    <w:pPr>
      <w:ind w:firstLine="420"/>
    </w:pPr>
    <w:rPr>
      <w:szCs w:val="20"/>
    </w:rPr>
  </w:style>
  <w:style w:type="paragraph" w:styleId="753">
    <w:name w:val="toc 7"/>
    <w:basedOn w:val="740"/>
    <w:next w:val="740"/>
    <w:uiPriority w:val="0"/>
    <w:semiHidden/>
    <w:qFormat/>
    <w:pPr>
      <w:ind w:left="2520"/>
    </w:pPr>
  </w:style>
  <w:style w:type="paragraph" w:styleId="754">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Document Map"/>
    <w:basedOn w:val="740"/>
    <w:uiPriority w:val="0"/>
    <w:semiHidden/>
    <w:qFormat/>
    <w:pPr>
      <w:shd w:val="clear" w:color="auto" w:fill="000080"/>
    </w:pPr>
  </w:style>
  <w:style w:type="paragraph" w:styleId="756">
    <w:name w:val="annotation text"/>
    <w:basedOn w:val="740"/>
    <w:link w:val="991"/>
    <w:uiPriority w:val="99"/>
    <w:qFormat/>
    <w:pPr>
      <w:jc w:val="left"/>
    </w:pPr>
  </w:style>
  <w:style w:type="paragraph" w:styleId="757">
    <w:name w:val="Body Text 3"/>
    <w:basedOn w:val="740"/>
    <w:uiPriority w:val="0"/>
    <w:qFormat/>
    <w:rPr>
      <w:rFonts w:ascii="仿宋_GB2312" w:hAnsi="Arial" w:eastAsia="仿宋_GB2312"/>
      <w:sz w:val="32"/>
      <w:szCs w:val="20"/>
    </w:rPr>
  </w:style>
  <w:style w:type="paragraph" w:styleId="758">
    <w:name w:val="Body Text"/>
    <w:basedOn w:val="740"/>
    <w:next w:val="759"/>
    <w:link w:val="992"/>
    <w:uiPriority w:val="0"/>
    <w:qFormat/>
    <w:rPr>
      <w:rFonts w:ascii="楷体_GB2312" w:hAnsi="Arial" w:eastAsia="楷体_GB2312"/>
      <w:sz w:val="28"/>
      <w:szCs w:val="20"/>
    </w:rPr>
  </w:style>
  <w:style w:type="paragraph" w:styleId="759" w:customStyle="1">
    <w:name w:val="Default"/>
    <w:uiPriority w:val="99"/>
    <w:qFormat/>
    <w:pPr>
      <w:widowControl w:val="off"/>
    </w:pPr>
    <w:rPr>
      <w:rFonts w:ascii="Calibri" w:hAnsi="Calibri" w:eastAsia="宋体" w:cs="Times New Roman"/>
      <w:color w:val="000000"/>
      <w:sz w:val="24"/>
      <w:szCs w:val="24"/>
      <w:lang w:val="en-US" w:eastAsia="zh-CN" w:bidi="ar-SA"/>
    </w:rPr>
  </w:style>
  <w:style w:type="paragraph" w:styleId="760">
    <w:name w:val="Body Text Indent"/>
    <w:basedOn w:val="740"/>
    <w:next w:val="761"/>
    <w:uiPriority w:val="0"/>
    <w:qFormat/>
    <w:pPr>
      <w:ind w:firstLine="645"/>
    </w:pPr>
    <w:rPr>
      <w:rFonts w:ascii="楷体_GB2312" w:eastAsia="楷体_GB2312"/>
      <w:sz w:val="32"/>
      <w:szCs w:val="20"/>
    </w:rPr>
  </w:style>
  <w:style w:type="paragraph" w:styleId="761">
    <w:name w:val="envelope return"/>
    <w:basedOn w:val="740"/>
    <w:uiPriority w:val="0"/>
    <w:qFormat/>
    <w:rPr>
      <w:rFonts w:ascii="Arial" w:hAnsi="Arial"/>
    </w:rPr>
  </w:style>
  <w:style w:type="paragraph" w:styleId="762">
    <w:name w:val="Block Text"/>
    <w:basedOn w:val="740"/>
    <w:uiPriority w:val="99"/>
    <w:unhideWhenUsed/>
    <w:qFormat/>
    <w:pPr>
      <w:ind w:left="1440" w:right="1440"/>
      <w:spacing w:after="120"/>
    </w:pPr>
  </w:style>
  <w:style w:type="paragraph" w:styleId="763">
    <w:name w:val="toc 5"/>
    <w:basedOn w:val="740"/>
    <w:next w:val="740"/>
    <w:uiPriority w:val="0"/>
    <w:semiHidden/>
    <w:qFormat/>
    <w:pPr>
      <w:ind w:left="1680"/>
    </w:pPr>
  </w:style>
  <w:style w:type="paragraph" w:styleId="764">
    <w:name w:val="toc 3"/>
    <w:basedOn w:val="740"/>
    <w:next w:val="740"/>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765">
    <w:name w:val="Plain Text"/>
    <w:basedOn w:val="740"/>
    <w:link w:val="982"/>
    <w:uiPriority w:val="0"/>
    <w:qFormat/>
    <w:rPr>
      <w:rFonts w:ascii="宋体" w:hAnsi="Courier New"/>
      <w:szCs w:val="20"/>
    </w:rPr>
  </w:style>
  <w:style w:type="paragraph" w:styleId="766">
    <w:name w:val="toc 8"/>
    <w:basedOn w:val="740"/>
    <w:next w:val="740"/>
    <w:uiPriority w:val="0"/>
    <w:semiHidden/>
    <w:qFormat/>
    <w:pPr>
      <w:ind w:left="2940"/>
    </w:pPr>
  </w:style>
  <w:style w:type="paragraph" w:styleId="767">
    <w:name w:val="Date"/>
    <w:basedOn w:val="740"/>
    <w:next w:val="740"/>
    <w:link w:val="993"/>
    <w:uiPriority w:val="0"/>
    <w:qFormat/>
    <w:rPr>
      <w:sz w:val="24"/>
      <w:szCs w:val="20"/>
    </w:rPr>
  </w:style>
  <w:style w:type="paragraph" w:styleId="768">
    <w:name w:val="Body Text Indent 2"/>
    <w:basedOn w:val="740"/>
    <w:uiPriority w:val="0"/>
    <w:qFormat/>
    <w:pPr>
      <w:ind w:firstLine="560"/>
    </w:pPr>
    <w:rPr>
      <w:rFonts w:ascii="宋体" w:hAnsi="宋体"/>
      <w:sz w:val="28"/>
    </w:rPr>
  </w:style>
  <w:style w:type="paragraph" w:styleId="769">
    <w:name w:val="endnote text"/>
    <w:basedOn w:val="740"/>
    <w:link w:val="945"/>
    <w:uiPriority w:val="99"/>
    <w:semiHidden/>
    <w:unhideWhenUsed/>
    <w:qFormat/>
    <w:rPr>
      <w:sz w:val="20"/>
    </w:rPr>
  </w:style>
  <w:style w:type="paragraph" w:styleId="770">
    <w:name w:val="Balloon Text"/>
    <w:basedOn w:val="740"/>
    <w:uiPriority w:val="0"/>
    <w:semiHidden/>
    <w:qFormat/>
    <w:rPr>
      <w:sz w:val="18"/>
      <w:szCs w:val="18"/>
    </w:rPr>
  </w:style>
  <w:style w:type="paragraph" w:styleId="771">
    <w:name w:val="Footer"/>
    <w:basedOn w:val="740"/>
    <w:link w:val="1014"/>
    <w:uiPriority w:val="99"/>
    <w:qFormat/>
    <w:pPr>
      <w:jc w:val="left"/>
      <w:tabs>
        <w:tab w:val="center" w:pos="4153" w:leader="none"/>
        <w:tab w:val="right" w:pos="8306" w:leader="none"/>
      </w:tabs>
    </w:pPr>
    <w:rPr>
      <w:sz w:val="18"/>
      <w:szCs w:val="20"/>
    </w:rPr>
  </w:style>
  <w:style w:type="paragraph" w:styleId="772">
    <w:name w:val="Header"/>
    <w:basedOn w:val="740"/>
    <w:link w:val="994"/>
    <w:uiPriority w:val="99"/>
    <w:qFormat/>
    <w:pPr>
      <w:jc w:val="center"/>
      <w:tabs>
        <w:tab w:val="center" w:pos="4153" w:leader="none"/>
        <w:tab w:val="right" w:pos="8306" w:leader="none"/>
      </w:tabs>
      <w:pBdr>
        <w:bottom w:val="single" w:color="auto" w:sz="6" w:space="1"/>
      </w:pBdr>
    </w:pPr>
    <w:rPr>
      <w:sz w:val="18"/>
      <w:szCs w:val="18"/>
    </w:rPr>
  </w:style>
  <w:style w:type="paragraph" w:styleId="773">
    <w:name w:val="toc 1"/>
    <w:basedOn w:val="740"/>
    <w:next w:val="740"/>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774">
    <w:name w:val="toc 4"/>
    <w:basedOn w:val="740"/>
    <w:next w:val="740"/>
    <w:uiPriority w:val="0"/>
    <w:semiHidden/>
    <w:qFormat/>
    <w:pPr>
      <w:ind w:left="1260"/>
    </w:pPr>
  </w:style>
  <w:style w:type="paragraph" w:styleId="775">
    <w:name w:val="Subtitle"/>
    <w:basedOn w:val="740"/>
    <w:next w:val="740"/>
    <w:link w:val="811"/>
    <w:uiPriority w:val="11"/>
    <w:qFormat/>
    <w:pPr>
      <w:spacing w:before="200" w:after="200"/>
    </w:pPr>
    <w:rPr>
      <w:sz w:val="24"/>
    </w:rPr>
  </w:style>
  <w:style w:type="paragraph" w:styleId="776">
    <w:name w:val="footnote text"/>
    <w:basedOn w:val="740"/>
    <w:link w:val="944"/>
    <w:uiPriority w:val="99"/>
    <w:semiHidden/>
    <w:unhideWhenUsed/>
    <w:qFormat/>
    <w:pPr>
      <w:spacing w:after="40"/>
    </w:pPr>
    <w:rPr>
      <w:sz w:val="18"/>
    </w:rPr>
  </w:style>
  <w:style w:type="paragraph" w:styleId="777">
    <w:name w:val="toc 6"/>
    <w:basedOn w:val="740"/>
    <w:next w:val="740"/>
    <w:uiPriority w:val="0"/>
    <w:semiHidden/>
    <w:qFormat/>
    <w:pPr>
      <w:ind w:left="2100"/>
    </w:pPr>
  </w:style>
  <w:style w:type="paragraph" w:styleId="778">
    <w:name w:val="Body Text Indent 3"/>
    <w:basedOn w:val="740"/>
    <w:uiPriority w:val="0"/>
    <w:qFormat/>
    <w:pPr>
      <w:ind w:firstLine="523"/>
    </w:pPr>
    <w:rPr>
      <w:rFonts w:ascii="仿宋_GB2312" w:hAnsi="宋体" w:eastAsia="仿宋_GB2312"/>
      <w:sz w:val="24"/>
    </w:rPr>
  </w:style>
  <w:style w:type="paragraph" w:styleId="779">
    <w:name w:val="table of figures"/>
    <w:basedOn w:val="740"/>
    <w:next w:val="740"/>
    <w:uiPriority w:val="99"/>
    <w:unhideWhenUsed/>
    <w:qFormat/>
  </w:style>
  <w:style w:type="paragraph" w:styleId="780">
    <w:name w:val="toc 2"/>
    <w:basedOn w:val="740"/>
    <w:next w:val="740"/>
    <w:uiPriority w:val="0"/>
    <w:semiHidden/>
    <w:qFormat/>
    <w:pPr>
      <w:jc w:val="left"/>
      <w:spacing w:line="260" w:lineRule="exact"/>
      <w:tabs>
        <w:tab w:val="right" w:pos="9440" w:leader="dot"/>
      </w:tabs>
    </w:pPr>
    <w:rPr>
      <w:rFonts w:ascii="黑体" w:eastAsia="黑体"/>
      <w:b/>
      <w:bCs/>
      <w:smallCaps/>
      <w:sz w:val="18"/>
      <w:szCs w:val="44"/>
    </w:rPr>
  </w:style>
  <w:style w:type="paragraph" w:styleId="781">
    <w:name w:val="toc 9"/>
    <w:basedOn w:val="740"/>
    <w:next w:val="740"/>
    <w:uiPriority w:val="0"/>
    <w:semiHidden/>
    <w:qFormat/>
    <w:pPr>
      <w:ind w:left="3360"/>
    </w:pPr>
  </w:style>
  <w:style w:type="paragraph" w:styleId="782">
    <w:name w:val="Body Text 2"/>
    <w:basedOn w:val="740"/>
    <w:uiPriority w:val="0"/>
    <w:qFormat/>
    <w:pPr>
      <w:jc w:val="center"/>
    </w:pPr>
    <w:rPr>
      <w:rFonts w:ascii="仿宋_GB2312" w:eastAsia="仿宋_GB2312"/>
      <w:sz w:val="44"/>
    </w:rPr>
  </w:style>
  <w:style w:type="paragraph" w:styleId="783">
    <w:name w:val="List Continue 2"/>
    <w:next w:val="740"/>
    <w:uiPriority w:val="0"/>
    <w:qFormat/>
    <w:pPr>
      <w:ind w:left="840"/>
      <w:jc w:val="both"/>
      <w:spacing w:after="120"/>
      <w:widowControl w:val="off"/>
    </w:pPr>
    <w:rPr>
      <w:rFonts w:ascii="Times New Roman" w:hAnsi="Times New Roman" w:eastAsia="宋体" w:cs="Times New Roman"/>
      <w:sz w:val="24"/>
      <w:lang w:val="en-US" w:eastAsia="zh-CN" w:bidi="ar-SA"/>
    </w:rPr>
  </w:style>
  <w:style w:type="paragraph" w:styleId="784">
    <w:name w:val="HTML Preformatted"/>
    <w:basedOn w:val="740"/>
    <w:link w:val="9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85">
    <w:name w:val="Normal (Web)"/>
    <w:basedOn w:val="740"/>
    <w:link w:val="979"/>
    <w:uiPriority w:val="99"/>
    <w:unhideWhenUsed/>
    <w:qFormat/>
    <w:pPr>
      <w:jc w:val="left"/>
      <w:spacing w:before="100" w:beforeAutospacing="1" w:after="100" w:afterAutospacing="1"/>
      <w:widowControl/>
    </w:pPr>
    <w:rPr>
      <w:rFonts w:ascii="宋体" w:hAnsi="宋体"/>
      <w:sz w:val="24"/>
    </w:rPr>
  </w:style>
  <w:style w:type="paragraph" w:styleId="786">
    <w:name w:val="index 1"/>
    <w:basedOn w:val="740"/>
    <w:next w:val="740"/>
    <w:uiPriority w:val="0"/>
    <w:semiHidden/>
    <w:qFormat/>
    <w:rPr>
      <w:rFonts w:ascii="宋体" w:hAnsi="宋体"/>
      <w:szCs w:val="18"/>
    </w:rPr>
  </w:style>
  <w:style w:type="paragraph" w:styleId="787">
    <w:name w:val="Title"/>
    <w:basedOn w:val="740"/>
    <w:next w:val="740"/>
    <w:link w:val="996"/>
    <w:uiPriority w:val="0"/>
    <w:qFormat/>
    <w:pPr>
      <w:jc w:val="center"/>
      <w:spacing w:before="240" w:after="60"/>
      <w:outlineLvl w:val="0"/>
    </w:pPr>
    <w:rPr>
      <w:rFonts w:ascii="Cambria" w:hAnsi="Cambria"/>
      <w:b/>
      <w:bCs/>
      <w:sz w:val="32"/>
      <w:szCs w:val="32"/>
    </w:rPr>
  </w:style>
  <w:style w:type="paragraph" w:styleId="788">
    <w:name w:val="annotation subject"/>
    <w:basedOn w:val="756"/>
    <w:next w:val="756"/>
    <w:link w:val="980"/>
    <w:uiPriority w:val="0"/>
    <w:qFormat/>
    <w:rPr>
      <w:b/>
      <w:bCs/>
    </w:rPr>
  </w:style>
  <w:style w:type="paragraph" w:styleId="789">
    <w:name w:val="Body Text First Indent"/>
    <w:basedOn w:val="758"/>
    <w:next w:val="777"/>
    <w:uiPriority w:val="99"/>
    <w:qFormat/>
    <w:pPr>
      <w:ind w:firstLine="200"/>
      <w:spacing w:line="360" w:lineRule="auto"/>
    </w:pPr>
    <w:rPr>
      <w:rFonts w:ascii="仿宋_GB2312" w:eastAsia="仿宋_GB2312"/>
      <w:sz w:val="30"/>
      <w:szCs w:val="30"/>
    </w:rPr>
  </w:style>
  <w:style w:type="paragraph" w:styleId="790">
    <w:name w:val="Body Text First Indent 2"/>
    <w:basedOn w:val="760"/>
    <w:next w:val="752"/>
    <w:uiPriority w:val="0"/>
    <w:qFormat/>
    <w:pPr>
      <w:ind w:firstLine="420"/>
      <w:spacing w:line="360" w:lineRule="auto"/>
    </w:pPr>
    <w:rPr>
      <w:rFonts w:ascii="宋体" w:hAnsi="宋体" w:eastAsia="宋体"/>
      <w:sz w:val="21"/>
    </w:rPr>
  </w:style>
  <w:style w:type="table" w:styleId="791">
    <w:name w:val="Table Grid"/>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uiPriority w:val="0"/>
    <w:qFormat/>
    <w:rPr>
      <w:b/>
      <w:bCs/>
    </w:rPr>
  </w:style>
  <w:style w:type="character" w:styleId="793">
    <w:name w:val="endnote reference"/>
    <w:basedOn w:val="750"/>
    <w:uiPriority w:val="99"/>
    <w:semiHidden/>
    <w:unhideWhenUsed/>
    <w:qFormat/>
    <w:rPr>
      <w:vertAlign w:val="superscript"/>
    </w:rPr>
  </w:style>
  <w:style w:type="character" w:styleId="794">
    <w:name w:val="page number"/>
    <w:uiPriority w:val="0"/>
    <w:qFormat/>
  </w:style>
  <w:style w:type="character" w:styleId="795">
    <w:name w:val="FollowedHyperlink"/>
    <w:uiPriority w:val="0"/>
    <w:qFormat/>
    <w:rPr>
      <w:color w:val="800080"/>
      <w:u w:val="single"/>
    </w:rPr>
  </w:style>
  <w:style w:type="character" w:styleId="796">
    <w:name w:val="Emphasis"/>
    <w:uiPriority w:val="0"/>
    <w:qFormat/>
    <w:rPr>
      <w:i/>
    </w:rPr>
  </w:style>
  <w:style w:type="character" w:styleId="797">
    <w:name w:val="Hyperlink"/>
    <w:uiPriority w:val="0"/>
    <w:qFormat/>
    <w:rPr>
      <w:color w:val="0000ff"/>
      <w:u w:val="single"/>
    </w:rPr>
  </w:style>
  <w:style w:type="character" w:styleId="798">
    <w:name w:val="annotation reference"/>
    <w:uiPriority w:val="99"/>
    <w:qFormat/>
    <w:rPr>
      <w:sz w:val="21"/>
      <w:szCs w:val="21"/>
    </w:rPr>
  </w:style>
  <w:style w:type="character" w:styleId="799">
    <w:name w:val="footnote reference"/>
    <w:basedOn w:val="750"/>
    <w:uiPriority w:val="99"/>
    <w:unhideWhenUsed/>
    <w:qFormat/>
    <w:rPr>
      <w:vertAlign w:val="superscript"/>
    </w:rPr>
  </w:style>
  <w:style w:type="character" w:styleId="800" w:customStyle="1">
    <w:name w:val="Heading 1 Char"/>
    <w:basedOn w:val="750"/>
    <w:uiPriority w:val="9"/>
    <w:qFormat/>
    <w:rPr>
      <w:rFonts w:ascii="Arial" w:hAnsi="Arial" w:eastAsia="Arial" w:cs="Arial"/>
      <w:sz w:val="40"/>
      <w:szCs w:val="40"/>
    </w:rPr>
  </w:style>
  <w:style w:type="character" w:styleId="801" w:customStyle="1">
    <w:name w:val="Heading 2 Char"/>
    <w:basedOn w:val="750"/>
    <w:uiPriority w:val="9"/>
    <w:qFormat/>
    <w:rPr>
      <w:rFonts w:ascii="Arial" w:hAnsi="Arial" w:eastAsia="Arial" w:cs="Arial"/>
      <w:sz w:val="34"/>
    </w:rPr>
  </w:style>
  <w:style w:type="character" w:styleId="802" w:customStyle="1">
    <w:name w:val="Heading 3 Char"/>
    <w:basedOn w:val="750"/>
    <w:uiPriority w:val="9"/>
    <w:qFormat/>
    <w:rPr>
      <w:rFonts w:ascii="Arial" w:hAnsi="Arial" w:eastAsia="Arial" w:cs="Arial"/>
      <w:sz w:val="30"/>
      <w:szCs w:val="30"/>
    </w:rPr>
  </w:style>
  <w:style w:type="character" w:styleId="803" w:customStyle="1">
    <w:name w:val="Heading 4 Char"/>
    <w:basedOn w:val="750"/>
    <w:uiPriority w:val="9"/>
    <w:qFormat/>
    <w:rPr>
      <w:rFonts w:ascii="Arial" w:hAnsi="Arial" w:eastAsia="Arial" w:cs="Arial"/>
      <w:b/>
      <w:bCs/>
      <w:sz w:val="26"/>
      <w:szCs w:val="26"/>
    </w:rPr>
  </w:style>
  <w:style w:type="character" w:styleId="804" w:customStyle="1">
    <w:name w:val="Heading 5 Char"/>
    <w:basedOn w:val="750"/>
    <w:uiPriority w:val="9"/>
    <w:qFormat/>
    <w:rPr>
      <w:rFonts w:ascii="Arial" w:hAnsi="Arial" w:eastAsia="Arial" w:cs="Arial"/>
      <w:b/>
      <w:bCs/>
      <w:sz w:val="24"/>
      <w:szCs w:val="24"/>
    </w:rPr>
  </w:style>
  <w:style w:type="character" w:styleId="805" w:customStyle="1">
    <w:name w:val="标题 6 Char"/>
    <w:basedOn w:val="750"/>
    <w:link w:val="746"/>
    <w:uiPriority w:val="9"/>
    <w:qFormat/>
    <w:rPr>
      <w:rFonts w:ascii="Arial" w:hAnsi="Arial" w:eastAsia="Arial" w:cs="Arial"/>
      <w:b/>
      <w:bCs/>
      <w:sz w:val="22"/>
      <w:szCs w:val="22"/>
    </w:rPr>
  </w:style>
  <w:style w:type="character" w:styleId="806" w:customStyle="1">
    <w:name w:val="标题 7 Char"/>
    <w:basedOn w:val="750"/>
    <w:link w:val="747"/>
    <w:uiPriority w:val="9"/>
    <w:qFormat/>
    <w:rPr>
      <w:rFonts w:ascii="Arial" w:hAnsi="Arial" w:eastAsia="Arial" w:cs="Arial"/>
      <w:b/>
      <w:bCs/>
      <w:i/>
      <w:iCs/>
      <w:sz w:val="22"/>
      <w:szCs w:val="22"/>
    </w:rPr>
  </w:style>
  <w:style w:type="character" w:styleId="807" w:customStyle="1">
    <w:name w:val="Heading 8 Char"/>
    <w:basedOn w:val="750"/>
    <w:uiPriority w:val="9"/>
    <w:qFormat/>
    <w:rPr>
      <w:rFonts w:ascii="Arial" w:hAnsi="Arial" w:eastAsia="Arial" w:cs="Arial"/>
      <w:i/>
      <w:iCs/>
      <w:sz w:val="22"/>
      <w:szCs w:val="22"/>
    </w:rPr>
  </w:style>
  <w:style w:type="character" w:styleId="808" w:customStyle="1">
    <w:name w:val="标题 9 Char"/>
    <w:basedOn w:val="750"/>
    <w:link w:val="749"/>
    <w:uiPriority w:val="9"/>
    <w:qFormat/>
    <w:rPr>
      <w:rFonts w:ascii="Arial" w:hAnsi="Arial" w:eastAsia="Arial" w:cs="Arial"/>
      <w:i/>
      <w:iCs/>
      <w:sz w:val="21"/>
      <w:szCs w:val="21"/>
    </w:rPr>
  </w:style>
  <w:style w:type="paragraph" w:styleId="809">
    <w:name w:val="No Spacing"/>
    <w:uiPriority w:val="1"/>
    <w:qFormat/>
    <w:rPr>
      <w:rFonts w:ascii="Times New Roman" w:hAnsi="Times New Roman" w:eastAsia="宋体" w:cs="Times New Roman"/>
      <w:lang w:val="en-US" w:eastAsia="zh-CN" w:bidi="ar-SA"/>
    </w:rPr>
  </w:style>
  <w:style w:type="character" w:styleId="810" w:customStyle="1">
    <w:name w:val="Title Char"/>
    <w:basedOn w:val="750"/>
    <w:uiPriority w:val="10"/>
    <w:qFormat/>
    <w:rPr>
      <w:sz w:val="48"/>
      <w:szCs w:val="48"/>
    </w:rPr>
  </w:style>
  <w:style w:type="character" w:styleId="811" w:customStyle="1">
    <w:name w:val="副标题 Char"/>
    <w:basedOn w:val="750"/>
    <w:link w:val="775"/>
    <w:uiPriority w:val="11"/>
    <w:qFormat/>
    <w:rPr>
      <w:sz w:val="24"/>
      <w:szCs w:val="24"/>
    </w:rPr>
  </w:style>
  <w:style w:type="paragraph" w:styleId="812">
    <w:name w:val="Quote"/>
    <w:basedOn w:val="740"/>
    <w:next w:val="740"/>
    <w:link w:val="813"/>
    <w:uiPriority w:val="29"/>
    <w:qFormat/>
    <w:pPr>
      <w:ind w:left="720" w:right="720"/>
    </w:pPr>
    <w:rPr>
      <w:i/>
    </w:rPr>
  </w:style>
  <w:style w:type="character" w:styleId="813" w:customStyle="1">
    <w:name w:val="引用 Char"/>
    <w:link w:val="812"/>
    <w:uiPriority w:val="29"/>
    <w:qFormat/>
    <w:rPr>
      <w:i/>
    </w:rPr>
  </w:style>
  <w:style w:type="paragraph" w:styleId="814">
    <w:name w:val="Intense Quote"/>
    <w:basedOn w:val="740"/>
    <w:next w:val="740"/>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Char"/>
    <w:link w:val="814"/>
    <w:uiPriority w:val="30"/>
    <w:qFormat/>
    <w:rPr>
      <w:i/>
    </w:rPr>
  </w:style>
  <w:style w:type="character" w:styleId="816" w:customStyle="1">
    <w:name w:val="Header Char"/>
    <w:basedOn w:val="750"/>
    <w:uiPriority w:val="99"/>
    <w:qFormat/>
  </w:style>
  <w:style w:type="character" w:styleId="817" w:customStyle="1">
    <w:name w:val="Footer Char"/>
    <w:basedOn w:val="750"/>
    <w:uiPriority w:val="99"/>
    <w:qFormat/>
  </w:style>
  <w:style w:type="character" w:styleId="818" w:customStyle="1">
    <w:name w:val="Caption Char"/>
    <w:uiPriority w:val="99"/>
    <w:qFormat/>
  </w:style>
  <w:style w:type="table" w:styleId="819" w:customStyle="1">
    <w:name w:val="Table Grid Light"/>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无格式表格 11"/>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basedOn w:val="75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basedOn w:val="75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basedOn w:val="75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basedOn w:val="7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basedOn w:val="75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basedOn w:val="75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basedOn w:val="75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basedOn w:val="75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basedOn w:val="75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basedOn w:val="75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网格表 2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basedOn w:val="75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basedOn w:val="75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basedOn w:val="75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basedOn w:val="75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basedOn w:val="75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basedOn w:val="75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网格表 3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basedOn w:val="75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basedOn w:val="75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basedOn w:val="75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basedOn w:val="75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basedOn w:val="75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basedOn w:val="75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网格表 41"/>
    <w:basedOn w:val="7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basedOn w:val="75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basedOn w:val="75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basedOn w:val="75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basedOn w:val="75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basedOn w:val="75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basedOn w:val="75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网格表 5 深色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网格表 6 彩色1"/>
    <w:basedOn w:val="7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basedOn w:val="75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basedOn w:val="75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basedOn w:val="75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4" w:customStyle="1">
    <w:name w:val="Grid Table 6 Colorful - Accent 4"/>
    <w:basedOn w:val="75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basedOn w:val="75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basedOn w:val="75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网格表 7 彩色1"/>
    <w:basedOn w:val="7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basedOn w:val="75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basedOn w:val="75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basedOn w:val="75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basedOn w:val="75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basedOn w:val="75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basedOn w:val="75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清单表 1 浅色1"/>
    <w:basedOn w:val="75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basedOn w:val="75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basedOn w:val="75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basedOn w:val="75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basedOn w:val="75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basedOn w:val="75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basedOn w:val="75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清单表 21"/>
    <w:basedOn w:val="7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basedOn w:val="75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basedOn w:val="75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basedOn w:val="75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basedOn w:val="75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basedOn w:val="75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basedOn w:val="75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清单表 3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basedOn w:val="75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basedOn w:val="75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basedOn w:val="75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basedOn w:val="75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basedOn w:val="75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basedOn w:val="75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basedOn w:val="75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basedOn w:val="75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basedOn w:val="75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basedOn w:val="75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basedOn w:val="75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basedOn w:val="75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清单表 5 深色1"/>
    <w:basedOn w:val="7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basedOn w:val="75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basedOn w:val="75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basedOn w:val="75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basedOn w:val="75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basedOn w:val="75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basedOn w:val="75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清单表 6 彩色1"/>
    <w:basedOn w:val="75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basedOn w:val="75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1" w:customStyle="1">
    <w:name w:val="List Table 6 Colorful - Accent 2"/>
    <w:basedOn w:val="75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2" w:customStyle="1">
    <w:name w:val="List Table 6 Colorful - Accent 3"/>
    <w:basedOn w:val="75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3" w:customStyle="1">
    <w:name w:val="List Table 6 Colorful - Accent 4"/>
    <w:basedOn w:val="75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4" w:customStyle="1">
    <w:name w:val="List Table 6 Colorful - Accent 5"/>
    <w:basedOn w:val="75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5" w:customStyle="1">
    <w:name w:val="List Table 6 Colorful - Accent 6"/>
    <w:basedOn w:val="75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6" w:customStyle="1">
    <w:name w:val="清单表 7 彩色1"/>
    <w:basedOn w:val="75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basedOn w:val="75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basedOn w:val="75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basedOn w:val="75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basedOn w:val="75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basedOn w:val="75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basedOn w:val="75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basedOn w:val="7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basedOn w:val="75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basedOn w:val="75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basedOn w:val="75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basedOn w:val="75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basedOn w:val="75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basedOn w:val="75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basedOn w:val="75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basedOn w:val="75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basedOn w:val="75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basedOn w:val="75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basedOn w:val="75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basedOn w:val="75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basedOn w:val="75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basedOn w:val="75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脚注文本 Char"/>
    <w:link w:val="776"/>
    <w:uiPriority w:val="99"/>
    <w:qFormat/>
    <w:rPr>
      <w:sz w:val="18"/>
    </w:rPr>
  </w:style>
  <w:style w:type="character" w:styleId="945" w:customStyle="1">
    <w:name w:val="尾注文本 Char"/>
    <w:link w:val="769"/>
    <w:uiPriority w:val="99"/>
    <w:qFormat/>
    <w:rPr>
      <w:sz w:val="20"/>
    </w:rPr>
  </w:style>
  <w:style w:type="paragraph" w:styleId="946" w:customStyle="1">
    <w:name w:val="TOC 标题1"/>
    <w:uiPriority w:val="39"/>
    <w:unhideWhenUsed/>
    <w:qFormat/>
    <w:rPr>
      <w:rFonts w:ascii="Times New Roman" w:hAnsi="Times New Roman" w:eastAsia="宋体" w:cs="Times New Roman"/>
      <w:lang w:val="en-US" w:eastAsia="zh-CN" w:bidi="ar-SA"/>
    </w:rPr>
  </w:style>
  <w:style w:type="paragraph" w:styleId="947" w:customStyle="1">
    <w:name w:val="Coms Alinea"/>
    <w:uiPriority w:val="0"/>
    <w:qFormat/>
    <w:pPr>
      <w:widowControl w:val="off"/>
    </w:pPr>
    <w:rPr>
      <w:rFonts w:ascii="Arial" w:hAnsi="Arial" w:eastAsia="宋体" w:cs="Arial"/>
      <w:lang w:val="en-US" w:eastAsia="zh-CN" w:bidi="ar-SA"/>
    </w:rPr>
  </w:style>
  <w:style w:type="paragraph" w:styleId="948" w:customStyle="1">
    <w:name w:val="表格"/>
    <w:basedOn w:val="740"/>
    <w:uiPriority w:val="0"/>
    <w:qFormat/>
    <w:rPr>
      <w:rFonts w:ascii="华文细黑" w:hAnsi="华文细黑" w:eastAsia="华文细黑"/>
    </w:rPr>
  </w:style>
  <w:style w:type="paragraph" w:styleId="94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950" w:customStyle="1">
    <w:name w:val="正文 1.1.1"/>
    <w:basedOn w:val="740"/>
    <w:next w:val="740"/>
    <w:uiPriority w:val="0"/>
    <w:qFormat/>
    <w:pPr>
      <w:spacing w:line="360" w:lineRule="auto"/>
      <w:tabs>
        <w:tab w:val="left" w:pos="851" w:leader="none"/>
      </w:tabs>
      <w:outlineLvl w:val="2"/>
    </w:pPr>
    <w:rPr>
      <w:rFonts w:ascii="宋体" w:hAnsi="宋体"/>
      <w:color w:val="000000"/>
      <w:sz w:val="28"/>
      <w:szCs w:val="21"/>
    </w:rPr>
  </w:style>
  <w:style w:type="paragraph" w:styleId="951" w:customStyle="1">
    <w:name w:val="列出段落1"/>
    <w:basedOn w:val="740"/>
    <w:link w:val="997"/>
    <w:uiPriority w:val="0"/>
    <w:qFormat/>
    <w:pPr>
      <w:contextualSpacing/>
      <w:ind w:left="720"/>
      <w:jc w:val="left"/>
      <w:widowControl/>
    </w:pPr>
    <w:rPr>
      <w:sz w:val="24"/>
      <w:lang w:eastAsia="en-US" w:bidi="en-US"/>
    </w:rPr>
  </w:style>
  <w:style w:type="paragraph" w:styleId="952" w:customStyle="1">
    <w:name w:val="HTML 预先格式化"/>
    <w:basedOn w:val="7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53" w:customStyle="1">
    <w:name w:val="_Style 57"/>
    <w:uiPriority w:val="99"/>
    <w:semiHidden/>
    <w:qFormat/>
    <w:rPr>
      <w:rFonts w:ascii="Calibri" w:hAnsi="Calibri" w:eastAsia="宋体" w:cs="Times New Roman"/>
      <w:sz w:val="21"/>
      <w:szCs w:val="24"/>
      <w:lang w:val="en-US" w:eastAsia="zh-CN" w:bidi="ar-SA"/>
    </w:rPr>
  </w:style>
  <w:style w:type="paragraph" w:styleId="954" w:customStyle="1">
    <w:name w:val="标题3"/>
    <w:basedOn w:val="740"/>
    <w:next w:val="740"/>
    <w:uiPriority w:val="0"/>
    <w:qFormat/>
    <w:rPr>
      <w:rFonts w:eastAsia="方正黑体_GBK"/>
    </w:rPr>
  </w:style>
  <w:style w:type="paragraph" w:styleId="955" w:customStyle="1">
    <w:name w:val="列出段落_0"/>
    <w:basedOn w:val="949"/>
    <w:uiPriority w:val="0"/>
    <w:qFormat/>
    <w:pPr>
      <w:ind w:firstLine="420"/>
    </w:pPr>
  </w:style>
  <w:style w:type="paragraph" w:styleId="956"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957" w:customStyle="1">
    <w:name w:val="正文空2格  1."/>
    <w:basedOn w:val="740"/>
    <w:uiPriority w:val="0"/>
    <w:qFormat/>
    <w:pPr>
      <w:ind w:firstLine="480"/>
      <w:spacing w:line="360" w:lineRule="auto"/>
    </w:pPr>
    <w:rPr>
      <w:rFonts w:ascii="宋体" w:eastAsia="仿宋" w:cs="宋体"/>
      <w:sz w:val="28"/>
      <w:szCs w:val="20"/>
    </w:rPr>
  </w:style>
  <w:style w:type="paragraph" w:styleId="958" w:customStyle="1">
    <w:name w:val="标题2"/>
    <w:basedOn w:val="740"/>
    <w:next w:val="740"/>
    <w:uiPriority w:val="0"/>
    <w:qFormat/>
    <w:pPr>
      <w:jc w:val="center"/>
    </w:pPr>
    <w:rPr>
      <w:rFonts w:eastAsia="方正楷体_GBK"/>
    </w:rPr>
  </w:style>
  <w:style w:type="paragraph" w:styleId="959"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960" w:customStyle="1">
    <w:name w:val="附录1"/>
    <w:uiPriority w:val="0"/>
    <w:qFormat/>
    <w:pPr>
      <w:ind w:left="907" w:hanging="907"/>
      <w:spacing w:before="240" w:line="600" w:lineRule="atLeast"/>
      <w:tabs>
        <w:tab w:val="left" w:pos="907" w:leader="none"/>
      </w:tabs>
    </w:pPr>
    <w:rPr>
      <w:rFonts w:ascii="Calibri" w:hAnsi="Calibri" w:eastAsia="宋体" w:cs="Times New Roman"/>
      <w:b/>
      <w:i/>
      <w:sz w:val="28"/>
      <w:lang w:val="en-US" w:eastAsia="zh-CN" w:bidi="ar-SA"/>
    </w:rPr>
  </w:style>
  <w:style w:type="paragraph" w:styleId="961" w:customStyle="1">
    <w:name w:val="正文 第一章"/>
    <w:basedOn w:val="740"/>
    <w:next w:val="962"/>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62" w:customStyle="1">
    <w:name w:val="正文 1.1"/>
    <w:basedOn w:val="740"/>
    <w:next w:val="950"/>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963" w:customStyle="1">
    <w:name w:val="_Style 64"/>
    <w:uiPriority w:val="99"/>
    <w:unhideWhenUsed/>
    <w:qFormat/>
    <w:rPr>
      <w:rFonts w:ascii="Calibri" w:hAnsi="Calibri" w:eastAsia="宋体" w:cs="Times New Roman"/>
      <w:sz w:val="21"/>
      <w:szCs w:val="24"/>
      <w:lang w:val="en-US" w:eastAsia="zh-CN" w:bidi="ar-SA"/>
    </w:rPr>
  </w:style>
  <w:style w:type="paragraph" w:styleId="964" w:customStyle="1">
    <w:name w:val="Char Char Char Char1 Char Char"/>
    <w:basedOn w:val="740"/>
    <w:uiPriority w:val="0"/>
    <w:qFormat/>
    <w:pPr>
      <w:tabs>
        <w:tab w:val="left" w:pos="360" w:leader="none"/>
      </w:tabs>
    </w:pPr>
    <w:rPr>
      <w:sz w:val="24"/>
    </w:rPr>
  </w:style>
  <w:style w:type="paragraph" w:styleId="965" w:customStyle="1">
    <w:name w:val="BioQuote Tekst"/>
    <w:basedOn w:val="740"/>
    <w:uiPriority w:val="0"/>
    <w:qFormat/>
    <w:pPr>
      <w:ind w:right="-1"/>
    </w:pPr>
    <w:rPr>
      <w:rFonts w:ascii="Arial" w:hAnsi="Arial"/>
      <w:sz w:val="22"/>
      <w:szCs w:val="20"/>
      <w:lang w:eastAsia="en-US"/>
    </w:rPr>
  </w:style>
  <w:style w:type="paragraph" w:styleId="966" w:customStyle="1">
    <w:name w:val="Char Char Char Char1 Char Char Char"/>
    <w:basedOn w:val="755"/>
    <w:uiPriority w:val="0"/>
    <w:qFormat/>
    <w:pPr>
      <w:spacing w:line="360" w:lineRule="auto"/>
    </w:pPr>
    <w:rPr>
      <w:rFonts w:ascii="Tahoma" w:hAnsi="Tahoma"/>
      <w:sz w:val="24"/>
    </w:rPr>
  </w:style>
  <w:style w:type="paragraph" w:styleId="967" w:customStyle="1">
    <w:name w:val="普通正文"/>
    <w:basedOn w:val="740"/>
    <w:uiPriority w:val="0"/>
    <w:qFormat/>
    <w:pPr>
      <w:ind w:firstLine="480"/>
      <w:jc w:val="left"/>
      <w:spacing w:before="120" w:after="120" w:line="360" w:lineRule="auto"/>
    </w:pPr>
    <w:rPr>
      <w:rFonts w:ascii="Arial" w:hAnsi="Arial"/>
      <w:sz w:val="24"/>
    </w:rPr>
  </w:style>
  <w:style w:type="paragraph" w:styleId="968" w:customStyle="1">
    <w:name w:val="Char"/>
    <w:basedOn w:val="740"/>
    <w:uiPriority w:val="0"/>
    <w:qFormat/>
    <w:rPr>
      <w:rFonts w:ascii="Tahoma" w:hAnsi="Tahoma"/>
      <w:sz w:val="24"/>
      <w:szCs w:val="20"/>
    </w:rPr>
  </w:style>
  <w:style w:type="paragraph" w:styleId="969" w:customStyle="1">
    <w:name w:val="标题1"/>
    <w:basedOn w:val="740"/>
    <w:next w:val="740"/>
    <w:uiPriority w:val="0"/>
    <w:qFormat/>
    <w:pPr>
      <w:jc w:val="center"/>
      <w:spacing w:line="700" w:lineRule="atLeast"/>
      <w:tabs>
        <w:tab w:val="left" w:pos="9193" w:leader="none"/>
        <w:tab w:val="left" w:pos="9827" w:leader="none"/>
      </w:tabs>
    </w:pPr>
    <w:rPr>
      <w:rFonts w:eastAsia="方正小标宋_GBK"/>
      <w:sz w:val="44"/>
    </w:rPr>
  </w:style>
  <w:style w:type="paragraph" w:styleId="970" w:customStyle="1">
    <w:name w:val="Body text|1"/>
    <w:basedOn w:val="740"/>
    <w:uiPriority w:val="0"/>
    <w:qFormat/>
    <w:pPr>
      <w:spacing w:line="346" w:lineRule="auto"/>
    </w:pPr>
    <w:rPr>
      <w:rFonts w:ascii="MingLiU" w:hAnsi="MingLiU" w:eastAsia="MingLiU" w:cs="MingLiU"/>
      <w:sz w:val="15"/>
      <w:szCs w:val="15"/>
      <w:lang w:val="zh-TW" w:eastAsia="zh-TW" w:bidi="zh-TW"/>
    </w:rPr>
  </w:style>
  <w:style w:type="paragraph" w:styleId="971" w:customStyle="1">
    <w:name w:val="xl47"/>
    <w:basedOn w:val="74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72" w:customStyle="1">
    <w:name w:val="列出段落2"/>
    <w:basedOn w:val="740"/>
    <w:uiPriority w:val="0"/>
    <w:qFormat/>
    <w:pPr>
      <w:ind w:firstLine="420"/>
    </w:pPr>
    <w:rPr>
      <w:szCs w:val="22"/>
    </w:rPr>
  </w:style>
  <w:style w:type="paragraph" w:styleId="973" w:customStyle="1">
    <w:name w:val="Char Char Char Char"/>
    <w:basedOn w:val="755"/>
    <w:uiPriority w:val="0"/>
    <w:qFormat/>
    <w:pPr>
      <w:spacing w:line="360" w:lineRule="auto"/>
    </w:pPr>
    <w:rPr>
      <w:rFonts w:ascii="Tahoma" w:hAnsi="Tahoma"/>
      <w:sz w:val="24"/>
    </w:rPr>
  </w:style>
  <w:style w:type="paragraph" w:styleId="974" w:customStyle="1">
    <w:name w:val="默认段落字体 Para Char Char Char Char Char Char Char Char Char1 Char Char Char Char Char Char Char"/>
    <w:basedOn w:val="755"/>
    <w:uiPriority w:val="0"/>
    <w:qFormat/>
    <w:rPr>
      <w:rFonts w:ascii="Tahoma" w:hAnsi="Tahoma"/>
      <w:sz w:val="24"/>
    </w:rPr>
  </w:style>
  <w:style w:type="paragraph" w:styleId="975" w:customStyle="1">
    <w:name w:val="Char1"/>
    <w:basedOn w:val="740"/>
    <w:uiPriority w:val="0"/>
    <w:qFormat/>
    <w:pPr>
      <w:tabs>
        <w:tab w:val="left" w:pos="360" w:leader="none"/>
      </w:tabs>
    </w:pPr>
    <w:rPr>
      <w:sz w:val="24"/>
    </w:rPr>
  </w:style>
  <w:style w:type="paragraph" w:styleId="976">
    <w:name w:val="List Paragraph"/>
    <w:basedOn w:val="740"/>
    <w:uiPriority w:val="34"/>
    <w:qFormat/>
    <w:pPr>
      <w:ind w:firstLine="420"/>
    </w:pPr>
    <w:rPr>
      <w:szCs w:val="22"/>
    </w:rPr>
  </w:style>
  <w:style w:type="paragraph" w:styleId="977" w:customStyle="1">
    <w:name w:val="第四级"/>
    <w:basedOn w:val="740"/>
    <w:next w:val="740"/>
    <w:uiPriority w:val="0"/>
    <w:qFormat/>
    <w:pPr>
      <w:spacing w:line="360" w:lineRule="auto"/>
      <w:tabs>
        <w:tab w:val="left" w:pos="1134" w:leader="none"/>
      </w:tabs>
    </w:pPr>
    <w:rPr>
      <w:rFonts w:ascii="宋体" w:hAnsi="宋体" w:eastAsia="仿宋"/>
      <w:sz w:val="28"/>
      <w:szCs w:val="21"/>
    </w:rPr>
  </w:style>
  <w:style w:type="character" w:styleId="978" w:customStyle="1">
    <w:name w:val="NormalCharacter"/>
    <w:uiPriority w:val="0"/>
    <w:qFormat/>
    <w:rPr>
      <w:rFonts w:ascii="Calibri" w:hAnsi="Calibri" w:eastAsia="宋体" w:cs="Times New Roman"/>
      <w:sz w:val="21"/>
      <w:szCs w:val="24"/>
      <w:lang w:val="en-US" w:eastAsia="zh-CN" w:bidi="ar-SA"/>
    </w:rPr>
  </w:style>
  <w:style w:type="character" w:styleId="979" w:customStyle="1">
    <w:name w:val="普通(网站) Char"/>
    <w:link w:val="785"/>
    <w:uiPriority w:val="0"/>
    <w:qFormat/>
    <w:rPr>
      <w:rFonts w:ascii="宋体" w:hAnsi="宋体" w:cs="宋体"/>
      <w:sz w:val="24"/>
      <w:szCs w:val="24"/>
    </w:rPr>
  </w:style>
  <w:style w:type="character" w:styleId="980" w:customStyle="1">
    <w:name w:val="批注主题 Char"/>
    <w:link w:val="788"/>
    <w:uiPriority w:val="0"/>
    <w:qFormat/>
    <w:rPr>
      <w:b/>
      <w:bCs/>
      <w:sz w:val="21"/>
      <w:szCs w:val="24"/>
    </w:rPr>
  </w:style>
  <w:style w:type="character" w:styleId="981" w:customStyle="1">
    <w:name w:val="apple-converted-space"/>
    <w:basedOn w:val="750"/>
    <w:uiPriority w:val="0"/>
    <w:qFormat/>
  </w:style>
  <w:style w:type="character" w:styleId="982" w:customStyle="1">
    <w:name w:val="纯文本 Char"/>
    <w:link w:val="765"/>
    <w:uiPriority w:val="0"/>
    <w:qFormat/>
    <w:rPr>
      <w:rFonts w:ascii="宋体" w:hAnsi="Courier New"/>
      <w:sz w:val="21"/>
    </w:rPr>
  </w:style>
  <w:style w:type="character" w:styleId="983" w:customStyle="1">
    <w:name w:val="标题2 Char"/>
    <w:uiPriority w:val="0"/>
    <w:qFormat/>
    <w:rPr>
      <w:rFonts w:ascii="方正楷体_GBK" w:hAnsi="Book Antiqua" w:eastAsia="方正楷体_GBK"/>
      <w:sz w:val="32"/>
      <w:lang w:val="en-US" w:eastAsia="zh-CN" w:bidi="ar-SA"/>
    </w:rPr>
  </w:style>
  <w:style w:type="character" w:styleId="984" w:customStyle="1">
    <w:name w:val="font01"/>
    <w:uiPriority w:val="0"/>
    <w:qFormat/>
    <w:rPr>
      <w:rFonts w:hint="default" w:ascii="Times New Roman" w:hAnsi="Times New Roman" w:eastAsia="宋体" w:cs="Times New Roman"/>
      <w:color w:val="000000"/>
      <w:sz w:val="22"/>
      <w:szCs w:val="22"/>
      <w:u w:val="none"/>
    </w:rPr>
  </w:style>
  <w:style w:type="character" w:styleId="985" w:customStyle="1">
    <w:name w:val="fc01294d3e-4153-482a-aea1-4b54892b7913-0"/>
    <w:uiPriority w:val="0"/>
    <w:qFormat/>
    <w:rPr>
      <w:rFonts w:ascii="Tahoma" w:hAnsi="Tahoma" w:eastAsia="Tahoma"/>
      <w:sz w:val="24"/>
      <w:szCs w:val="24"/>
      <w:shd w:val="clear" w:color="auto" w:fill="auto"/>
    </w:rPr>
  </w:style>
  <w:style w:type="character" w:styleId="986" w:customStyle="1">
    <w:name w:val="font81"/>
    <w:uiPriority w:val="0"/>
    <w:qFormat/>
    <w:rPr>
      <w:rFonts w:hint="default" w:ascii="方正仿宋_GBK" w:hAnsi="方正仿宋_GBK" w:eastAsia="方正仿宋_GBK" w:cs="方正仿宋_GBK"/>
      <w:color w:val="000000"/>
      <w:sz w:val="16"/>
      <w:szCs w:val="16"/>
      <w:u w:val="none"/>
    </w:rPr>
  </w:style>
  <w:style w:type="character" w:styleId="987" w:customStyle="1">
    <w:name w:val="font31"/>
    <w:uiPriority w:val="0"/>
    <w:qFormat/>
    <w:rPr>
      <w:rFonts w:ascii="方正仿宋_GBK" w:hAnsi="方正仿宋_GBK" w:eastAsia="方正仿宋_GBK" w:cs="方正仿宋_GBK"/>
      <w:color w:val="000000"/>
      <w:sz w:val="22"/>
      <w:szCs w:val="22"/>
      <w:u w:val="none"/>
    </w:rPr>
  </w:style>
  <w:style w:type="character" w:styleId="988" w:customStyle="1">
    <w:name w:val="标题 1 Char"/>
    <w:link w:val="741"/>
    <w:uiPriority w:val="0"/>
    <w:qFormat/>
    <w:rPr>
      <w:rFonts w:ascii="楷体_GB2312" w:eastAsia="楷体_GB2312"/>
      <w:sz w:val="28"/>
      <w:lang w:val="en-US" w:eastAsia="zh-CN" w:bidi="ar-SA"/>
    </w:rPr>
  </w:style>
  <w:style w:type="character" w:styleId="989" w:customStyle="1">
    <w:name w:val="标题 2 Char"/>
    <w:link w:val="742"/>
    <w:uiPriority w:val="0"/>
    <w:qFormat/>
    <w:rPr>
      <w:rFonts w:ascii="Arial" w:hAnsi="Arial" w:eastAsia="幼圆"/>
      <w:b/>
      <w:sz w:val="44"/>
    </w:rPr>
  </w:style>
  <w:style w:type="character" w:styleId="990" w:customStyle="1">
    <w:name w:val="正文缩进 Char"/>
    <w:link w:val="752"/>
    <w:uiPriority w:val="0"/>
    <w:qFormat/>
    <w:rPr>
      <w:rFonts w:eastAsia="宋体"/>
      <w:sz w:val="21"/>
      <w:lang w:val="en-US" w:eastAsia="zh-CN" w:bidi="ar-SA"/>
    </w:rPr>
  </w:style>
  <w:style w:type="character" w:styleId="991" w:customStyle="1">
    <w:name w:val="批注文字 Char"/>
    <w:link w:val="756"/>
    <w:uiPriority w:val="99"/>
    <w:qFormat/>
    <w:rPr>
      <w:sz w:val="21"/>
      <w:szCs w:val="24"/>
    </w:rPr>
  </w:style>
  <w:style w:type="character" w:styleId="992" w:customStyle="1">
    <w:name w:val="正文文本 Char"/>
    <w:link w:val="758"/>
    <w:uiPriority w:val="0"/>
    <w:qFormat/>
    <w:rPr>
      <w:rFonts w:ascii="楷体_GB2312" w:hAnsi="Arial" w:eastAsia="楷体_GB2312"/>
      <w:sz w:val="28"/>
    </w:rPr>
  </w:style>
  <w:style w:type="character" w:styleId="993" w:customStyle="1">
    <w:name w:val="日期 Char"/>
    <w:link w:val="767"/>
    <w:uiPriority w:val="0"/>
    <w:qFormat/>
    <w:rPr>
      <w:sz w:val="24"/>
    </w:rPr>
  </w:style>
  <w:style w:type="character" w:styleId="994" w:customStyle="1">
    <w:name w:val="页眉 Char"/>
    <w:link w:val="772"/>
    <w:uiPriority w:val="99"/>
    <w:qFormat/>
    <w:rPr>
      <w:sz w:val="18"/>
      <w:szCs w:val="18"/>
    </w:rPr>
  </w:style>
  <w:style w:type="character" w:styleId="995" w:customStyle="1">
    <w:name w:val="HTML 预设格式 Char"/>
    <w:link w:val="784"/>
    <w:uiPriority w:val="0"/>
    <w:qFormat/>
    <w:rPr>
      <w:rFonts w:ascii="黑体" w:hAnsi="Courier New" w:eastAsia="黑体" w:cs="Courier New"/>
    </w:rPr>
  </w:style>
  <w:style w:type="character" w:styleId="996" w:customStyle="1">
    <w:name w:val="标题 Char"/>
    <w:link w:val="787"/>
    <w:uiPriority w:val="0"/>
    <w:qFormat/>
    <w:rPr>
      <w:rFonts w:ascii="Cambria" w:hAnsi="Cambria" w:cs="Times New Roman"/>
      <w:b/>
      <w:bCs/>
      <w:sz w:val="32"/>
      <w:szCs w:val="32"/>
    </w:rPr>
  </w:style>
  <w:style w:type="character" w:styleId="997" w:customStyle="1">
    <w:name w:val="列出段落 Char"/>
    <w:link w:val="951"/>
    <w:uiPriority w:val="0"/>
    <w:qFormat/>
    <w:rPr>
      <w:rFonts w:ascii="Calibri" w:hAnsi="Calibri"/>
      <w:sz w:val="24"/>
      <w:szCs w:val="24"/>
      <w:lang w:eastAsia="en-US" w:bidi="en-US"/>
    </w:rPr>
  </w:style>
  <w:style w:type="character" w:styleId="998" w:customStyle="1">
    <w:name w:val="font71"/>
    <w:uiPriority w:val="0"/>
    <w:qFormat/>
    <w:rPr>
      <w:rFonts w:hint="eastAsia" w:ascii="宋体" w:hAnsi="宋体" w:eastAsia="宋体" w:cs="宋体"/>
      <w:color w:val="000000"/>
      <w:sz w:val="21"/>
      <w:szCs w:val="21"/>
      <w:u w:val="none"/>
    </w:rPr>
  </w:style>
  <w:style w:type="character" w:styleId="999" w:customStyle="1">
    <w:name w:val="jj1"/>
    <w:uiPriority w:val="0"/>
    <w:qFormat/>
    <w:rPr>
      <w:sz w:val="20"/>
      <w:szCs w:val="20"/>
      <w:u w:val="none"/>
    </w:rPr>
  </w:style>
  <w:style w:type="paragraph" w:styleId="1000" w:customStyle="1">
    <w:name w:val="首行缩进"/>
    <w:basedOn w:val="740"/>
    <w:uiPriority w:val="0"/>
    <w:qFormat/>
    <w:pPr>
      <w:ind w:firstLine="480"/>
      <w:spacing w:line="360" w:lineRule="auto"/>
    </w:pPr>
    <w:rPr>
      <w:rFonts w:ascii="宋体" w:hAnsi="宋体" w:cs="宋体"/>
      <w:sz w:val="24"/>
    </w:rPr>
  </w:style>
  <w:style w:type="paragraph" w:styleId="1001" w:customStyle="1">
    <w:name w:val="正文1"/>
    <w:basedOn w:val="740"/>
    <w:uiPriority w:val="0"/>
    <w:qFormat/>
    <w:pPr>
      <w:ind w:right="-167"/>
      <w:spacing w:line="440" w:lineRule="exact"/>
      <w:widowControl/>
    </w:pPr>
    <w:rPr>
      <w:rFonts w:ascii="Times New Roman" w:hAnsi="Times New Roman"/>
      <w:b/>
    </w:rPr>
  </w:style>
  <w:style w:type="paragraph" w:styleId="1002" w:customStyle="1">
    <w:name w:val="样式 首行缩进:  2 字符3"/>
    <w:uiPriority w:val="0"/>
    <w:qFormat/>
    <w:pPr>
      <w:ind w:firstLine="480"/>
      <w:jc w:val="both"/>
      <w:spacing w:line="360" w:lineRule="auto"/>
      <w:widowControl w:val="off"/>
    </w:pPr>
    <w:rPr>
      <w:rFonts w:ascii="宋体" w:hAnsi="Times New Roman" w:eastAsia="宋体" w:cs="宋体"/>
      <w:sz w:val="24"/>
      <w:szCs w:val="24"/>
      <w:lang w:val="en-US" w:eastAsia="zh-CN" w:bidi="ar-SA"/>
    </w:rPr>
  </w:style>
  <w:style w:type="paragraph" w:styleId="1003" w:customStyle="1">
    <w:name w:val="修订1"/>
    <w:hidden/>
    <w:uiPriority w:val="99"/>
    <w:semiHidden/>
    <w:qFormat/>
    <w:rPr>
      <w:rFonts w:ascii="Calibri" w:hAnsi="Calibri" w:eastAsia="宋体" w:cs="Times New Roman"/>
      <w:sz w:val="21"/>
      <w:szCs w:val="24"/>
      <w:lang w:val="en-US" w:eastAsia="zh-CN" w:bidi="ar-SA"/>
    </w:rPr>
  </w:style>
  <w:style w:type="character" w:styleId="1004" w:customStyle="1">
    <w:name w:val="font11"/>
    <w:basedOn w:val="750"/>
    <w:uiPriority w:val="0"/>
    <w:qFormat/>
    <w:rPr>
      <w:rFonts w:hint="eastAsia" w:ascii="宋体" w:hAnsi="宋体" w:eastAsia="宋体" w:cs="宋体"/>
      <w:b/>
      <w:bCs/>
      <w:color w:val="000000"/>
      <w:sz w:val="22"/>
      <w:szCs w:val="22"/>
      <w:u w:val="none"/>
    </w:rPr>
  </w:style>
  <w:style w:type="paragraph" w:styleId="1005" w:customStyle="1">
    <w:name w:val="段"/>
    <w:next w:val="740"/>
    <w:uiPriority w:val="99"/>
    <w:qFormat/>
    <w:pPr>
      <w:ind w:firstLine="200"/>
      <w:jc w:val="both"/>
      <w:widowControl w:val="off"/>
    </w:pPr>
    <w:rPr>
      <w:rFonts w:ascii="宋体" w:hAnsi="宋体" w:eastAsia="宋体" w:cs="宋体"/>
      <w:color w:val="000000"/>
      <w:sz w:val="21"/>
      <w:szCs w:val="21"/>
      <w:lang w:val="en-US" w:eastAsia="zh-CN" w:bidi="ar-SA"/>
    </w:rPr>
  </w:style>
  <w:style w:type="paragraph" w:styleId="1006" w:customStyle="1">
    <w:name w:val="_Style 7"/>
    <w:basedOn w:val="740"/>
    <w:next w:val="976"/>
    <w:uiPriority w:val="34"/>
    <w:qFormat/>
    <w:pPr>
      <w:ind w:firstLine="420"/>
    </w:pPr>
  </w:style>
  <w:style w:type="paragraph" w:styleId="1007" w:customStyle="1">
    <w:name w:val="Table Paragraph"/>
    <w:basedOn w:val="740"/>
    <w:uiPriority w:val="1"/>
    <w:qFormat/>
    <w:rPr>
      <w:rFonts w:ascii="宋体" w:hAnsi="宋体" w:cs="宋体"/>
      <w:lang w:val="zh-CN" w:bidi="zh-CN"/>
    </w:rPr>
  </w:style>
  <w:style w:type="paragraph" w:styleId="1008" w:customStyle="1">
    <w:name w:val="正文首行缩进1"/>
    <w:basedOn w:val="740"/>
    <w:next w:val="1009"/>
    <w:uiPriority w:val="99"/>
    <w:qFormat/>
    <w:pPr>
      <w:ind w:firstLine="200"/>
      <w:spacing w:line="360" w:lineRule="auto"/>
    </w:pPr>
    <w:rPr>
      <w:rFonts w:ascii="仿宋_GB2312" w:eastAsia="仿宋_GB2312"/>
      <w:sz w:val="30"/>
      <w:szCs w:val="30"/>
    </w:rPr>
  </w:style>
  <w:style w:type="paragraph" w:styleId="1009" w:customStyle="1">
    <w:name w:val="目录 61"/>
    <w:basedOn w:val="740"/>
    <w:next w:val="740"/>
    <w:uiPriority w:val="0"/>
    <w:semiHidden/>
    <w:qFormat/>
    <w:pPr>
      <w:ind w:left="2100"/>
    </w:pPr>
  </w:style>
  <w:style w:type="paragraph" w:styleId="1010" w:customStyle="1">
    <w:name w:val="正文文本首行缩进 21"/>
    <w:basedOn w:val="1011"/>
    <w:uiPriority w:val="99"/>
    <w:unhideWhenUsed/>
    <w:qFormat/>
    <w:pPr>
      <w:ind w:firstLine="420"/>
    </w:pPr>
  </w:style>
  <w:style w:type="paragraph" w:styleId="1011" w:customStyle="1">
    <w:name w:val="正文文本缩进1"/>
    <w:basedOn w:val="740"/>
    <w:next w:val="1012"/>
    <w:uiPriority w:val="0"/>
    <w:unhideWhenUsed/>
    <w:qFormat/>
    <w:pPr>
      <w:ind w:firstLine="557"/>
      <w:spacing w:line="360" w:lineRule="auto"/>
    </w:pPr>
  </w:style>
  <w:style w:type="paragraph" w:styleId="1012" w:customStyle="1">
    <w:name w:val="寄信人地址1"/>
    <w:basedOn w:val="740"/>
    <w:uiPriority w:val="99"/>
    <w:unhideWhenUsed/>
    <w:qFormat/>
    <w:rPr>
      <w:rFonts w:ascii="Arial" w:hAnsi="Arial"/>
    </w:rPr>
  </w:style>
  <w:style w:type="character" w:styleId="1013" w:customStyle="1">
    <w:name w:val="NormalCharacter1"/>
    <w:uiPriority w:val="0"/>
    <w:semiHidden/>
    <w:qFormat/>
    <w:rPr>
      <w:rFonts w:hint="default" w:ascii="Calibri" w:hAnsi="Calibri" w:eastAsia="宋体" w:cs="Times New Roman"/>
      <w:sz w:val="21"/>
      <w:szCs w:val="24"/>
      <w:lang w:val="en-US" w:eastAsia="zh-CN" w:bidi="ar-SA"/>
    </w:rPr>
  </w:style>
  <w:style w:type="character" w:styleId="1014" w:customStyle="1">
    <w:name w:val="页脚 Char"/>
    <w:basedOn w:val="750"/>
    <w:link w:val="771"/>
    <w:uiPriority w:val="99"/>
    <w:qFormat/>
    <w:rPr>
      <w:rFonts w:ascii="Calibri" w:hAnsi="Calibri"/>
      <w:sz w:val="18"/>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徐秀干</cp:lastModifiedBy>
  <cp:revision>12</cp:revision>
  <dcterms:created xsi:type="dcterms:W3CDTF">2025-10-24T02:35:00Z</dcterms:created>
  <dcterms:modified xsi:type="dcterms:W3CDTF">2025-10-29T06:51:08Z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21109C47C6844299B78A8CFBD0860FDC_13</vt:lpwstr>
  </property>
  <property fmtid="{D5CDD505-2E9C-101B-9397-08002B2CF9AE}" pid="4" name="KSOTemplateDocerSaveRecord">
    <vt:lpwstr>eyJoZGlkIjoiYTEwOTJmYjYzY2M4NDk3YTYzNjA2MzU0MjFiYmRmMmEifQ==</vt:lpwstr>
  </property>
</Properties>
</file>